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33-1051425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7"/>
          <w:szCs w:val="17"/>
          <w:b w:val="1"/>
          <w:bCs w:val="1"/>
          <w:color w:val="auto"/>
        </w:rPr>
        <w:t>3222 Phoenixville Pike, Malvern, 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19355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600-7555</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on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 (s)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STIM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Neuronetics, Inc. (the “Company”) held its Annual Meeting of Stockholders on May 28, 2026 (the “Annual Meeting”). A total of 55,950,118 shares of common stock, representing approximately 80.41% of the shares outstanding and eligible to vote and constituting a quorum, were represented in person or by valid proxies at the Annual Meeting. The final results for each of the matters submitted to a vote of stockholders at the Annual Meeting are as follows: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Proposal 1: All of the nominees for director were elected to serve a one-year term until the 2027 Annual Meeting, or until their respective successors are elected and qualified, by the votes set forth in the table below:</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10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Avinash N. Amin, M.D.</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33,982,534</w:t>
            </w:r>
          </w:p>
        </w:tc>
        <w:tc>
          <w:tcPr>
            <w:tcW w:w="1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7,305,990</w:t>
            </w:r>
          </w:p>
        </w:tc>
        <w:tc>
          <w:tcPr>
            <w:tcW w:w="160" w:type="dxa"/>
            <w:vAlign w:val="bottom"/>
          </w:tcPr>
          <w:p>
            <w:pPr>
              <w:spacing w:after="0"/>
              <w:rPr>
                <w:sz w:val="16"/>
                <w:szCs w:val="16"/>
                <w:color w:val="auto"/>
              </w:rPr>
            </w:pPr>
          </w:p>
        </w:tc>
        <w:tc>
          <w:tcPr>
            <w:tcW w:w="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Cascella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29,304,597</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11,983,927</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Sheryl L. Conley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29,304,311</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11,984,213</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Sasha S. Cucuz</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28,512,554</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12,775,970</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P. Muir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29,281,048</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12,007,476</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L. Reuvers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34,472,656</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6,815,868</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Megan R. Rosengarten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28,794,454</w:t>
            </w:r>
          </w:p>
        </w:tc>
        <w:tc>
          <w:tcPr>
            <w:tcW w:w="1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12,494,070</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14,661,594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Proposal 2: The appointment of KPMG LLP as the Company’s independent registered public accounting firm for the fiscal year ending December 31, 2026 was ratified by the Company’s stockholders by the votes set forth in the table below:</w:t>
      </w:r>
    </w:p>
    <w:p>
      <w:pPr>
        <w:sectPr>
          <w:pgSz w:w="11900" w:h="16838" w:orient="portrait"/>
          <w:cols w:equalWidth="0" w:num="1">
            <w:col w:w="10960"/>
          </w:cols>
          <w:pgMar w:left="440" w:top="293" w:right="499" w:bottom="1440" w:gutter="0" w:footer="0" w:header="0"/>
        </w:sectPr>
      </w:pP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47,194,967 votes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6,924,816 votes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1,830,335 votes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proposal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00" w:lineRule="exact"/>
        <w:rPr>
          <w:sz w:val="20"/>
          <w:szCs w:val="20"/>
          <w:color w:val="auto"/>
        </w:rPr>
      </w:pPr>
    </w:p>
    <w:p>
      <w:pPr>
        <w:sectPr>
          <w:pgSz w:w="11900" w:h="16838" w:orient="portrait"/>
          <w:cols w:equalWidth="0" w:num="2">
            <w:col w:w="4900" w:space="720"/>
            <w:col w:w="5340"/>
          </w:cols>
          <w:pgMar w:left="440" w:top="293" w:right="499" w:bottom="1440" w:gutter="0" w:footer="0" w:header="0"/>
          <w:type w:val="continuous"/>
        </w:sectPr>
      </w:pPr>
    </w:p>
    <w:p>
      <w:pPr>
        <w:spacing w:after="0" w:line="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Proposal 3: The approval, on a non-binding, advisory basis, of the compensation of the individual who served as our principal executive officer during 2025 and our two other most highly compensated executive officers who were serving as executive officers as of December 31, 2025 was ratified by the Company’s stockholders by the votes set forth in the table below:</w:t>
      </w:r>
    </w:p>
    <w:p>
      <w:pPr>
        <w:sectPr>
          <w:pgSz w:w="11900" w:h="16838" w:orient="portrait"/>
          <w:cols w:equalWidth="0" w:num="1">
            <w:col w:w="10960"/>
          </w:cols>
          <w:pgMar w:left="440" w:top="293" w:right="499" w:bottom="1440" w:gutter="0" w:footer="0" w:header="0"/>
          <w:type w:val="continuous"/>
        </w:sectPr>
      </w:pPr>
    </w:p>
    <w:p>
      <w:pPr>
        <w:spacing w:after="0" w:line="20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29,133,360 votes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11,503,294 votes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651,870 votes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14,661,594 votes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proposal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w:t>
      </w:r>
    </w:p>
    <w:p>
      <w:pPr>
        <w:spacing w:after="0" w:line="200" w:lineRule="exact"/>
        <w:rPr>
          <w:sz w:val="20"/>
          <w:szCs w:val="20"/>
          <w:color w:val="auto"/>
        </w:rPr>
      </w:pPr>
    </w:p>
    <w:p>
      <w:pPr>
        <w:sectPr>
          <w:pgSz w:w="11900" w:h="16838" w:orient="portrait"/>
          <w:cols w:equalWidth="0" w:num="2">
            <w:col w:w="4900" w:space="720"/>
            <w:col w:w="5340"/>
          </w:cols>
          <w:pgMar w:left="440" w:top="293" w:right="499" w:bottom="1440" w:gutter="0" w:footer="0" w:header="0"/>
          <w:type w:val="continuous"/>
        </w:sectPr>
      </w:pPr>
    </w:p>
    <w:p>
      <w:pPr>
        <w:spacing w:after="0" w:line="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Proposal 4: The approval of the Neuronetics, Inc. 2026 Equity Incentive Plan was approved by the Company’s stockholders by the votes set forth in the table below:</w:t>
      </w:r>
    </w:p>
    <w:p>
      <w:pPr>
        <w:sectPr>
          <w:pgSz w:w="11900" w:h="16838" w:orient="portrait"/>
          <w:cols w:equalWidth="0" w:num="1">
            <w:col w:w="10960"/>
          </w:cols>
          <w:pgMar w:left="440" w:top="293" w:right="499" w:bottom="1440" w:gutter="0" w:footer="0" w:header="0"/>
          <w:type w:val="continuous"/>
        </w:sectPr>
      </w:pP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23,802,955 votes</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16,651,661 votes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833,908 votes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14,661,594 votes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proposal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proposal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w:t>
      </w:r>
    </w:p>
    <w:p>
      <w:pPr>
        <w:sectPr>
          <w:pgSz w:w="11900" w:h="16838" w:orient="portrait"/>
          <w:cols w:equalWidth="0" w:num="2">
            <w:col w:w="4900" w:space="720"/>
            <w:col w:w="5340"/>
          </w:cols>
          <w:pgMar w:left="440" w:top="293"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NEURONETICS, INC.</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Andrew Macan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 Andrew Macan</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2026-05-29T17:38:59Z</dcterms:created>
  <dcterms:modified xsi:type="dcterms:W3CDTF">2026-05-29T17:38:59Z</dcterms:modified>
</cp:coreProperties>
</file>