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96520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8" w:lineRule="exact"/>
        <w:rPr>
          <w:rFonts w:ascii="MS PGothic" w:cs="MS PGothic" w:eastAsia="MS PGothic" w:hAnsi="MS PGothic"/>
          <w:sz w:val="14"/>
          <w:szCs w:val="14"/>
          <w:color w:val="auto"/>
        </w:rPr>
      </w:pPr>
    </w:p>
    <w:p>
      <w:pPr>
        <w:ind w:left="364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For the fiscal year ended December 31, 2021</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OR</w:t>
      </w:r>
    </w:p>
    <w:p>
      <w:pPr>
        <w:spacing w:after="0" w:line="6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73" w:lineRule="exact"/>
        <w:rPr>
          <w:rFonts w:ascii="MS PGothic" w:cs="MS PGothic" w:eastAsia="MS PGothic" w:hAnsi="MS PGothic"/>
          <w:sz w:val="14"/>
          <w:szCs w:val="14"/>
          <w:color w:val="auto"/>
        </w:rPr>
      </w:pPr>
    </w:p>
    <w:p>
      <w:pPr>
        <w:ind w:left="348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For the transition period from _______ to _______</w:t>
      </w:r>
    </w:p>
    <w:p>
      <w:pPr>
        <w:spacing w:after="0" w:line="53" w:lineRule="exact"/>
        <w:rPr>
          <w:rFonts w:ascii="MS PGothic" w:cs="MS PGothic" w:eastAsia="MS PGothic" w:hAnsi="MS PGothic"/>
          <w:sz w:val="14"/>
          <w:szCs w:val="14"/>
          <w:color w:val="auto"/>
        </w:rPr>
      </w:pPr>
    </w:p>
    <w:p>
      <w:pPr>
        <w:ind w:left="386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Commission File Number: 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38"/>
          <w:szCs w:val="38"/>
          <w:b w:val="1"/>
          <w:bCs w:val="1"/>
          <w:color w:val="auto"/>
        </w:rPr>
        <w:t>NEURONETICS, INC.</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3"/>
          </w:tcPr>
          <w:p>
            <w:pPr>
              <w:jc w:val="center"/>
              <w:ind w:left="1071"/>
              <w:spacing w:after="0"/>
              <w:rPr>
                <w:sz w:val="20"/>
                <w:szCs w:val="20"/>
                <w:color w:val="auto"/>
              </w:rPr>
            </w:pPr>
            <w:r>
              <w:rPr>
                <w:rFonts w:ascii="Arial" w:cs="Arial" w:eastAsia="Arial" w:hAnsi="Arial"/>
                <w:sz w:val="14"/>
                <w:szCs w:val="14"/>
                <w:b w:val="1"/>
                <w:bCs w:val="1"/>
                <w:color w:val="auto"/>
              </w:rPr>
              <w:t>Delaware</w:t>
            </w: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tcPr>
          <w:p>
            <w:pPr>
              <w:jc w:val="right"/>
              <w:ind w:right="1994"/>
              <w:spacing w:after="0"/>
              <w:rPr>
                <w:sz w:val="20"/>
                <w:szCs w:val="20"/>
                <w:color w:val="auto"/>
              </w:rPr>
            </w:pPr>
            <w:r>
              <w:rPr>
                <w:rFonts w:ascii="Arial" w:cs="Arial" w:eastAsia="Arial" w:hAnsi="Arial"/>
                <w:sz w:val="14"/>
                <w:szCs w:val="14"/>
                <w:b w:val="1"/>
                <w:bCs w:val="1"/>
                <w:color w:val="auto"/>
              </w:rPr>
              <w:t>33-1051425</w:t>
            </w:r>
          </w:p>
        </w:tc>
      </w:tr>
      <w:tr>
        <w:trPr>
          <w:trHeight w:val="201"/>
        </w:trPr>
        <w:tc>
          <w:tcPr>
            <w:tcW w:w="3740" w:type="dxa"/>
            <w:vAlign w:val="bottom"/>
            <w:gridSpan w:val="3"/>
          </w:tcPr>
          <w:p>
            <w:pPr>
              <w:jc w:val="center"/>
              <w:ind w:left="1071"/>
              <w:spacing w:after="0"/>
              <w:rPr>
                <w:sz w:val="20"/>
                <w:szCs w:val="20"/>
                <w:color w:val="auto"/>
              </w:rPr>
            </w:pPr>
            <w:r>
              <w:rPr>
                <w:rFonts w:ascii="Arial" w:cs="Arial" w:eastAsia="Arial" w:hAnsi="Arial"/>
                <w:sz w:val="14"/>
                <w:szCs w:val="14"/>
                <w:b w:val="1"/>
                <w:bCs w:val="1"/>
                <w:color w:val="auto"/>
              </w:rPr>
              <w:t>(State or other jurisdiction of</w:t>
            </w:r>
          </w:p>
        </w:tc>
        <w:tc>
          <w:tcPr>
            <w:tcW w:w="2460" w:type="dxa"/>
            <w:vAlign w:val="bottom"/>
          </w:tcPr>
          <w:p>
            <w:pPr>
              <w:spacing w:after="0"/>
              <w:rPr>
                <w:sz w:val="17"/>
                <w:szCs w:val="17"/>
                <w:color w:val="auto"/>
              </w:rPr>
            </w:pPr>
          </w:p>
        </w:tc>
        <w:tc>
          <w:tcPr>
            <w:tcW w:w="3740" w:type="dxa"/>
            <w:vAlign w:val="bottom"/>
            <w:gridSpan w:val="4"/>
          </w:tcPr>
          <w:p>
            <w:pPr>
              <w:jc w:val="center"/>
              <w:ind w:right="1074"/>
              <w:spacing w:after="0"/>
              <w:rPr>
                <w:sz w:val="20"/>
                <w:szCs w:val="20"/>
                <w:color w:val="auto"/>
              </w:rPr>
            </w:pPr>
            <w:r>
              <w:rPr>
                <w:rFonts w:ascii="Arial" w:cs="Arial" w:eastAsia="Arial" w:hAnsi="Arial"/>
                <w:sz w:val="14"/>
                <w:szCs w:val="14"/>
                <w:b w:val="1"/>
                <w:bCs w:val="1"/>
                <w:color w:val="auto"/>
              </w:rPr>
              <w:t>(I.R.S. Employer Identification No.)</w:t>
            </w:r>
          </w:p>
        </w:tc>
      </w:tr>
      <w:tr>
        <w:trPr>
          <w:trHeight w:val="190"/>
        </w:trPr>
        <w:tc>
          <w:tcPr>
            <w:tcW w:w="3740" w:type="dxa"/>
            <w:vAlign w:val="bottom"/>
            <w:gridSpan w:val="3"/>
          </w:tcPr>
          <w:p>
            <w:pPr>
              <w:jc w:val="center"/>
              <w:ind w:left="1071"/>
              <w:spacing w:after="0"/>
              <w:rPr>
                <w:sz w:val="20"/>
                <w:szCs w:val="20"/>
                <w:color w:val="auto"/>
              </w:rPr>
            </w:pPr>
            <w:r>
              <w:rPr>
                <w:rFonts w:ascii="Arial" w:cs="Arial" w:eastAsia="Arial" w:hAnsi="Arial"/>
                <w:sz w:val="14"/>
                <w:szCs w:val="14"/>
                <w:b w:val="1"/>
                <w:bCs w:val="1"/>
                <w:color w:val="auto"/>
              </w:rPr>
              <w:t>incorporation or organization)</w:t>
            </w: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29"/>
        </w:trPr>
        <w:tc>
          <w:tcPr>
            <w:tcW w:w="7020" w:type="dxa"/>
            <w:vAlign w:val="bottom"/>
            <w:gridSpan w:val="7"/>
          </w:tcPr>
          <w:p>
            <w:pPr>
              <w:jc w:val="center"/>
              <w:ind w:left="2831"/>
              <w:spacing w:after="0"/>
              <w:rPr>
                <w:sz w:val="20"/>
                <w:szCs w:val="20"/>
                <w:color w:val="auto"/>
              </w:rPr>
            </w:pPr>
            <w:r>
              <w:rPr>
                <w:rFonts w:ascii="Arial" w:cs="Arial" w:eastAsia="Arial" w:hAnsi="Arial"/>
                <w:sz w:val="14"/>
                <w:szCs w:val="14"/>
                <w:b w:val="1"/>
                <w:bCs w:val="1"/>
                <w:color w:val="auto"/>
              </w:rPr>
              <w:t>3222 Phoenixville Pike, Malvern, Pennsylvania 19355</w:t>
            </w:r>
          </w:p>
        </w:tc>
        <w:tc>
          <w:tcPr>
            <w:tcW w:w="2920" w:type="dxa"/>
            <w:vAlign w:val="bottom"/>
          </w:tcPr>
          <w:p>
            <w:pPr>
              <w:spacing w:after="0"/>
              <w:rPr>
                <w:sz w:val="19"/>
                <w:szCs w:val="19"/>
                <w:color w:val="auto"/>
              </w:rPr>
            </w:pPr>
          </w:p>
        </w:tc>
      </w:tr>
      <w:tr>
        <w:trPr>
          <w:trHeight w:val="230"/>
        </w:trPr>
        <w:tc>
          <w:tcPr>
            <w:tcW w:w="7020" w:type="dxa"/>
            <w:vAlign w:val="bottom"/>
            <w:gridSpan w:val="7"/>
          </w:tcPr>
          <w:p>
            <w:pPr>
              <w:jc w:val="center"/>
              <w:ind w:left="2851"/>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2920" w:type="dxa"/>
            <w:vAlign w:val="bottom"/>
          </w:tcPr>
          <w:p>
            <w:pPr>
              <w:spacing w:after="0"/>
              <w:rPr>
                <w:sz w:val="19"/>
                <w:szCs w:val="19"/>
                <w:color w:val="auto"/>
              </w:rPr>
            </w:pPr>
          </w:p>
        </w:tc>
      </w:tr>
      <w:tr>
        <w:trPr>
          <w:trHeight w:val="229"/>
        </w:trPr>
        <w:tc>
          <w:tcPr>
            <w:tcW w:w="9940" w:type="dxa"/>
            <w:vAlign w:val="bottom"/>
            <w:gridSpan w:val="8"/>
          </w:tcPr>
          <w:p>
            <w:pPr>
              <w:jc w:val="center"/>
              <w:spacing w:after="0"/>
              <w:rPr>
                <w:sz w:val="20"/>
                <w:szCs w:val="20"/>
                <w:color w:val="auto"/>
              </w:rPr>
            </w:pPr>
            <w:r>
              <w:rPr>
                <w:rFonts w:ascii="Arial" w:cs="Arial" w:eastAsia="Arial" w:hAnsi="Arial"/>
                <w:sz w:val="14"/>
                <w:szCs w:val="14"/>
                <w:b w:val="1"/>
                <w:bCs w:val="1"/>
                <w:color w:val="auto"/>
              </w:rPr>
              <w:t>Registrant’s telephone number, including area code: (610) 640-4202</w:t>
            </w:r>
          </w:p>
        </w:tc>
      </w:tr>
      <w:tr>
        <w:trPr>
          <w:trHeight w:val="100"/>
        </w:trPr>
        <w:tc>
          <w:tcPr>
            <w:tcW w:w="3720" w:type="dxa"/>
            <w:vAlign w:val="bottom"/>
            <w:gridSpan w:val="2"/>
          </w:tcPr>
          <w:p>
            <w:pPr>
              <w:spacing w:after="0"/>
              <w:rPr>
                <w:sz w:val="8"/>
                <w:szCs w:val="8"/>
                <w:color w:val="auto"/>
              </w:rPr>
            </w:pPr>
          </w:p>
        </w:tc>
        <w:tc>
          <w:tcPr>
            <w:tcW w:w="2480" w:type="dxa"/>
            <w:vAlign w:val="bottom"/>
            <w:tcBorders>
              <w:bottom w:val="single" w:sz="8" w:color="auto"/>
            </w:tcBorders>
            <w:gridSpan w:val="2"/>
          </w:tcPr>
          <w:p>
            <w:pPr>
              <w:spacing w:after="0"/>
              <w:rPr>
                <w:sz w:val="8"/>
                <w:szCs w:val="8"/>
                <w:color w:val="auto"/>
              </w:rPr>
            </w:pPr>
          </w:p>
        </w:tc>
        <w:tc>
          <w:tcPr>
            <w:tcW w:w="820" w:type="dxa"/>
            <w:vAlign w:val="bottom"/>
            <w:gridSpan w:val="3"/>
          </w:tcPr>
          <w:p>
            <w:pPr>
              <w:spacing w:after="0"/>
              <w:rPr>
                <w:sz w:val="8"/>
                <w:szCs w:val="8"/>
                <w:color w:val="auto"/>
              </w:rPr>
            </w:pPr>
          </w:p>
        </w:tc>
        <w:tc>
          <w:tcPr>
            <w:tcW w:w="2920" w:type="dxa"/>
            <w:vAlign w:val="bottom"/>
          </w:tcPr>
          <w:p>
            <w:pPr>
              <w:spacing w:after="0"/>
              <w:rPr>
                <w:sz w:val="8"/>
                <w:szCs w:val="8"/>
                <w:color w:val="auto"/>
              </w:rPr>
            </w:pPr>
          </w:p>
        </w:tc>
      </w:tr>
      <w:tr>
        <w:trPr>
          <w:trHeight w:val="227"/>
        </w:trPr>
        <w:tc>
          <w:tcPr>
            <w:tcW w:w="7020" w:type="dxa"/>
            <w:vAlign w:val="bottom"/>
            <w:gridSpan w:val="7"/>
          </w:tcPr>
          <w:p>
            <w:pPr>
              <w:jc w:val="center"/>
              <w:ind w:left="2831"/>
              <w:spacing w:after="0"/>
              <w:rPr>
                <w:sz w:val="20"/>
                <w:szCs w:val="20"/>
                <w:color w:val="auto"/>
              </w:rPr>
            </w:pPr>
            <w:r>
              <w:rPr>
                <w:rFonts w:ascii="Arial" w:cs="Arial" w:eastAsia="Arial" w:hAnsi="Arial"/>
                <w:sz w:val="13"/>
                <w:szCs w:val="13"/>
                <w:color w:val="auto"/>
                <w:w w:val="96"/>
              </w:rPr>
              <w:t>Securities registered pursuant to Section 12(b) of the Act:</w:t>
            </w:r>
          </w:p>
        </w:tc>
        <w:tc>
          <w:tcPr>
            <w:tcW w:w="2920" w:type="dxa"/>
            <w:vAlign w:val="bottom"/>
          </w:tcPr>
          <w:p>
            <w:pPr>
              <w:spacing w:after="0"/>
              <w:rPr>
                <w:sz w:val="19"/>
                <w:szCs w:val="19"/>
                <w:color w:val="auto"/>
              </w:rPr>
            </w:pPr>
          </w:p>
        </w:tc>
      </w:tr>
      <w:tr>
        <w:trPr>
          <w:trHeight w:val="259"/>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60" w:type="dxa"/>
            <w:vAlign w:val="bottom"/>
            <w:gridSpan w:val="2"/>
          </w:tcPr>
          <w:p>
            <w:pPr>
              <w:spacing w:after="0"/>
              <w:rPr>
                <w:sz w:val="22"/>
                <w:szCs w:val="22"/>
                <w:color w:val="auto"/>
              </w:rPr>
            </w:pPr>
          </w:p>
        </w:tc>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93"/>
        </w:trPr>
        <w:tc>
          <w:tcPr>
            <w:tcW w:w="3740" w:type="dxa"/>
            <w:vAlign w:val="bottom"/>
            <w:gridSpan w:val="3"/>
          </w:tcPr>
          <w:p>
            <w:pPr>
              <w:jc w:val="center"/>
              <w:ind w:right="160"/>
              <w:spacing w:after="0"/>
              <w:rPr>
                <w:sz w:val="20"/>
                <w:szCs w:val="20"/>
                <w:color w:val="auto"/>
              </w:rPr>
            </w:pPr>
            <w:r>
              <w:rPr>
                <w:rFonts w:ascii="Arial" w:cs="Arial" w:eastAsia="Arial" w:hAnsi="Arial"/>
                <w:sz w:val="13"/>
                <w:szCs w:val="13"/>
                <w:color w:val="auto"/>
                <w:w w:val="97"/>
              </w:rPr>
              <w:t>Common Stock, par value $0.01 per share</w:t>
            </w:r>
          </w:p>
        </w:tc>
        <w:tc>
          <w:tcPr>
            <w:tcW w:w="32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6"/>
              </w:rPr>
              <w:t>STIM</w:t>
            </w:r>
          </w:p>
        </w:tc>
        <w:tc>
          <w:tcPr>
            <w:tcW w:w="2920" w:type="dxa"/>
            <w:vAlign w:val="bottom"/>
          </w:tcPr>
          <w:p>
            <w:pPr>
              <w:jc w:val="center"/>
              <w:ind w:right="94"/>
              <w:spacing w:after="0"/>
              <w:rPr>
                <w:sz w:val="20"/>
                <w:szCs w:val="20"/>
                <w:color w:val="auto"/>
              </w:rPr>
            </w:pPr>
            <w:r>
              <w:rPr>
                <w:rFonts w:ascii="Arial" w:cs="Arial" w:eastAsia="Arial" w:hAnsi="Arial"/>
                <w:sz w:val="13"/>
                <w:szCs w:val="13"/>
                <w:color w:val="auto"/>
                <w:w w:val="96"/>
              </w:rPr>
              <w:t>The Nasdaq Stock Market LLC</w:t>
            </w:r>
          </w:p>
        </w:tc>
      </w:tr>
    </w:tbl>
    <w:p>
      <w:pPr>
        <w:spacing w:after="0" w:line="5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34" w:lineRule="exact"/>
        <w:rPr>
          <w:sz w:val="24"/>
          <w:szCs w:val="24"/>
          <w:color w:val="auto"/>
        </w:rPr>
      </w:pPr>
    </w:p>
    <w:p>
      <w:pPr>
        <w:ind w:right="2660"/>
        <w:spacing w:after="0" w:line="17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7"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w:t>
      </w:r>
    </w:p>
    <w:p>
      <w:pPr>
        <w:spacing w:after="0" w:line="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7" w:lineRule="exact"/>
        <w:rPr>
          <w:sz w:val="24"/>
          <w:szCs w:val="24"/>
          <w:color w:val="auto"/>
        </w:rPr>
      </w:pPr>
    </w:p>
    <w:p>
      <w:pPr>
        <w:ind w:right="40"/>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w:t>
      </w:r>
    </w:p>
    <w:p>
      <w:pPr>
        <w:spacing w:after="0"/>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12b-2 of the Exchange Act.</w:t>
      </w:r>
    </w:p>
    <w:p>
      <w:pPr>
        <w:sectPr>
          <w:pgSz w:w="11900" w:h="16838" w:orient="portrait"/>
          <w:cols w:equalWidth="0" w:num="1">
            <w:col w:w="9940"/>
          </w:cols>
          <w:pgMar w:left="980" w:top="665" w:right="979" w:bottom="1440" w:gutter="0" w:footer="0" w:header="0"/>
        </w:sectPr>
      </w:pPr>
    </w:p>
    <w:p>
      <w:pPr>
        <w:spacing w:after="0" w:line="67"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20"/>
        <w:spacing w:after="0" w:line="150" w:lineRule="exact"/>
        <w:tabs>
          <w:tab w:leader="none" w:pos="1480" w:val="left"/>
        </w:tabs>
        <w:rPr>
          <w:sz w:val="20"/>
          <w:szCs w:val="20"/>
          <w:color w:val="auto"/>
        </w:rPr>
      </w:pP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2"/>
          <w:szCs w:val="12"/>
          <w:color w:val="auto"/>
        </w:rPr>
        <w:t>☐</w:t>
      </w:r>
    </w:p>
    <w:p>
      <w:pPr>
        <w:spacing w:after="0" w:line="3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Smaller reporting company</w:t>
      </w:r>
      <w:r>
        <w:rPr>
          <w:rFonts w:ascii="MS PGothic" w:cs="MS PGothic" w:eastAsia="MS PGothic" w:hAnsi="MS PGothic"/>
          <w:sz w:val="12"/>
          <w:szCs w:val="12"/>
          <w:color w:val="auto"/>
        </w:rPr>
        <w:t>☒</w:t>
      </w:r>
    </w:p>
    <w:p>
      <w:pPr>
        <w:spacing w:after="0" w:line="31" w:lineRule="exact"/>
        <w:rPr>
          <w:sz w:val="24"/>
          <w:szCs w:val="24"/>
          <w:color w:val="auto"/>
        </w:rPr>
      </w:pPr>
    </w:p>
    <w:p>
      <w:pPr>
        <w:sectPr>
          <w:pgSz w:w="11900" w:h="16838" w:orient="portrait"/>
          <w:cols w:equalWidth="0" w:num="3">
            <w:col w:w="1260" w:space="240"/>
            <w:col w:w="5940" w:space="720"/>
            <w:col w:w="1780"/>
          </w:cols>
          <w:pgMar w:left="980" w:top="665" w:right="979" w:bottom="1440" w:gutter="0" w:footer="0" w:header="0"/>
          <w:type w:val="continuous"/>
        </w:sectPr>
      </w:pPr>
    </w:p>
    <w:p>
      <w:pPr>
        <w:ind w:left="8160"/>
        <w:spacing w:after="0" w:line="138" w:lineRule="exact"/>
        <w:rPr>
          <w:sz w:val="20"/>
          <w:szCs w:val="20"/>
          <w:color w:val="auto"/>
        </w:rPr>
      </w:pPr>
      <w:r>
        <w:rPr>
          <w:rFonts w:ascii="Arial" w:cs="Arial" w:eastAsia="Arial" w:hAnsi="Arial"/>
          <w:sz w:val="12"/>
          <w:szCs w:val="12"/>
          <w:color w:val="auto"/>
        </w:rPr>
        <w:t>Emerging growth company</w:t>
      </w:r>
      <w:r>
        <w:rPr>
          <w:rFonts w:ascii="MS PGothic" w:cs="MS PGothic" w:eastAsia="MS PGothic" w:hAnsi="MS PGothic"/>
          <w:sz w:val="12"/>
          <w:szCs w:val="12"/>
          <w:color w:val="auto"/>
        </w:rPr>
        <w:t>☒</w:t>
      </w:r>
    </w:p>
    <w:p>
      <w:pPr>
        <w:spacing w:after="0" w:line="97" w:lineRule="exact"/>
        <w:rPr>
          <w:sz w:val="24"/>
          <w:szCs w:val="24"/>
          <w:color w:val="auto"/>
        </w:rPr>
      </w:pPr>
    </w:p>
    <w:p>
      <w:pPr>
        <w:ind w:right="36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7" w:lineRule="exact"/>
        <w:rPr>
          <w:sz w:val="24"/>
          <w:szCs w:val="24"/>
          <w:color w:val="auto"/>
        </w:rPr>
      </w:pPr>
    </w:p>
    <w:p>
      <w:pPr>
        <w:ind w:right="460"/>
        <w:spacing w:after="0" w:line="24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w:t>
      </w:r>
    </w:p>
    <w:p>
      <w:pPr>
        <w:spacing w:after="0" w:line="131" w:lineRule="exact"/>
        <w:rPr>
          <w:sz w:val="20"/>
          <w:szCs w:val="20"/>
          <w:color w:val="auto"/>
        </w:rPr>
      </w:pPr>
      <w:r>
        <w:rPr>
          <w:rFonts w:ascii="MS PGothic" w:cs="MS PGothic" w:eastAsia="MS PGothic" w:hAnsi="MS PGothic"/>
          <w:sz w:val="13"/>
          <w:szCs w:val="13"/>
          <w:color w:val="auto"/>
        </w:rPr>
        <w:t>☐</w:t>
      </w:r>
    </w:p>
    <w:p>
      <w:pPr>
        <w:spacing w:after="0" w:line="56" w:lineRule="exact"/>
        <w:rPr>
          <w:sz w:val="24"/>
          <w:szCs w:val="24"/>
          <w:color w:val="auto"/>
        </w:rPr>
      </w:pPr>
    </w:p>
    <w:p>
      <w:pPr>
        <w:spacing w:after="0" w:line="150" w:lineRule="exact"/>
        <w:tabs>
          <w:tab w:leader="none" w:pos="70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6" w:lineRule="exact"/>
        <w:rPr>
          <w:sz w:val="24"/>
          <w:szCs w:val="24"/>
          <w:color w:val="auto"/>
        </w:rPr>
      </w:pPr>
    </w:p>
    <w:p>
      <w:pPr>
        <w:ind w:right="180"/>
        <w:spacing w:after="0" w:line="225" w:lineRule="auto"/>
        <w:rPr>
          <w:sz w:val="20"/>
          <w:szCs w:val="20"/>
          <w:color w:val="auto"/>
        </w:rPr>
      </w:pPr>
      <w:r>
        <w:rPr>
          <w:rFonts w:ascii="Arial" w:cs="Arial" w:eastAsia="Arial" w:hAnsi="Arial"/>
          <w:sz w:val="13"/>
          <w:szCs w:val="13"/>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2021) was approximately $396.2 million.</w:t>
      </w:r>
    </w:p>
    <w:p>
      <w:pPr>
        <w:spacing w:after="0" w:line="52"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2, 2022 was 26,627,806.</w:t>
      </w:r>
    </w:p>
    <w:p>
      <w:pPr>
        <w:spacing w:after="0" w:line="51" w:lineRule="exact"/>
        <w:rPr>
          <w:sz w:val="24"/>
          <w:szCs w:val="24"/>
          <w:color w:val="auto"/>
        </w:rPr>
      </w:pPr>
    </w:p>
    <w:p>
      <w:pPr>
        <w:ind w:left="35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9" w:lineRule="exact"/>
        <w:rPr>
          <w:sz w:val="24"/>
          <w:szCs w:val="24"/>
          <w:color w:val="auto"/>
        </w:rPr>
      </w:pPr>
    </w:p>
    <w:p>
      <w:pPr>
        <w:ind w:right="300"/>
        <w:spacing w:after="0" w:line="230" w:lineRule="auto"/>
        <w:rPr>
          <w:sz w:val="20"/>
          <w:szCs w:val="20"/>
          <w:color w:val="auto"/>
        </w:rPr>
      </w:pPr>
      <w:r>
        <w:rPr>
          <w:rFonts w:ascii="Arial" w:cs="Arial" w:eastAsia="Arial" w:hAnsi="Arial"/>
          <w:sz w:val="13"/>
          <w:szCs w:val="13"/>
          <w:color w:val="auto"/>
        </w:rPr>
        <w:t>Portions of the Registrant’s Definitive Proxy Statement relating to the 2022 Annual Meeting of Stockholders, which will be filed with the Securities and Exchange Commission within 120 days after the end of the Registrant’s fiscal year ended December 31, 2021,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541655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 for the year ended December 31, 2021</w:t>
      </w: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540" w:type="dxa"/>
            <w:vAlign w:val="bottom"/>
            <w:gridSpan w:val="29"/>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Cautionary Note Regarding Forward-Looking Statements</w:t>
              </w:r>
            </w:hyperlink>
          </w:p>
        </w:tc>
        <w:tc>
          <w:tcPr>
            <w:tcW w:w="3800" w:type="dxa"/>
            <w:vAlign w:val="bottom"/>
            <w:gridSpan w:val="10"/>
            <w:vMerge w:val="restart"/>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174"/>
        </w:trPr>
        <w:tc>
          <w:tcPr>
            <w:tcW w:w="4540" w:type="dxa"/>
            <w:vAlign w:val="bottom"/>
            <w:tcBorders>
              <w:bottom w:val="single" w:sz="8" w:color="0000EE"/>
            </w:tcBorders>
            <w:gridSpan w:val="29"/>
            <w:vMerge w:val="continue"/>
          </w:tcPr>
          <w:p>
            <w:pPr>
              <w:spacing w:after="0"/>
              <w:rPr>
                <w:sz w:val="14"/>
                <w:szCs w:val="14"/>
                <w:color w:val="auto"/>
              </w:rPr>
            </w:pPr>
          </w:p>
        </w:tc>
        <w:tc>
          <w:tcPr>
            <w:tcW w:w="3800" w:type="dxa"/>
            <w:vAlign w:val="bottom"/>
            <w:gridSpan w:val="10"/>
            <w:vMerge w:val="continue"/>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6"/>
          </w:tcPr>
          <w:p>
            <w:pPr>
              <w:jc w:val="center"/>
              <w:ind w:right="3900"/>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PART I</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980" w:type="dxa"/>
            <w:vAlign w:val="bottom"/>
            <w:gridSpan w:val="17"/>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gridSpan w:val="3"/>
          </w:tcPr>
          <w:p>
            <w:pPr>
              <w:spacing w:after="0"/>
              <w:rPr>
                <w:sz w:val="15"/>
                <w:szCs w:val="15"/>
                <w:color w:val="auto"/>
              </w:rPr>
            </w:pPr>
          </w:p>
        </w:tc>
        <w:tc>
          <w:tcPr>
            <w:tcW w:w="3900" w:type="dxa"/>
            <w:vAlign w:val="bottom"/>
            <w:gridSpan w:val="13"/>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8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Item 1A.</w:t>
              </w:r>
            </w:hyperlink>
          </w:p>
        </w:tc>
        <w:tc>
          <w:tcPr>
            <w:tcW w:w="100" w:type="dxa"/>
            <w:vAlign w:val="bottom"/>
          </w:tcPr>
          <w:p>
            <w:pPr>
              <w:spacing w:after="0"/>
              <w:rPr>
                <w:sz w:val="15"/>
                <w:szCs w:val="15"/>
                <w:color w:val="auto"/>
              </w:rPr>
            </w:pPr>
          </w:p>
        </w:tc>
        <w:tc>
          <w:tcPr>
            <w:tcW w:w="106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Risk Factors.</w:t>
              </w:r>
            </w:hyperlink>
          </w:p>
        </w:tc>
        <w:tc>
          <w:tcPr>
            <w:tcW w:w="6380" w:type="dxa"/>
            <w:vAlign w:val="bottom"/>
            <w:gridSpan w:val="29"/>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Item 1B.</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6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Item 2.</w:t>
              </w:r>
            </w:hyperlink>
          </w:p>
        </w:tc>
        <w:tc>
          <w:tcPr>
            <w:tcW w:w="120" w:type="dxa"/>
            <w:vAlign w:val="bottom"/>
            <w:gridSpan w:val="2"/>
          </w:tcPr>
          <w:p>
            <w:pPr>
              <w:spacing w:after="0"/>
              <w:rPr>
                <w:sz w:val="15"/>
                <w:szCs w:val="15"/>
                <w:color w:val="auto"/>
              </w:rPr>
            </w:pPr>
          </w:p>
        </w:tc>
        <w:tc>
          <w:tcPr>
            <w:tcW w:w="23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Properties.</w:t>
              </w:r>
            </w:hyperlink>
          </w:p>
        </w:tc>
        <w:tc>
          <w:tcPr>
            <w:tcW w:w="5140" w:type="dxa"/>
            <w:vAlign w:val="bottom"/>
            <w:gridSpan w:val="20"/>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Item 3.</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Legal Proceedings.</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Item 4.</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5"/>
          </w:tcPr>
          <w:p>
            <w:pPr>
              <w:jc w:val="center"/>
              <w:spacing w:after="0"/>
              <w:rPr>
                <w:rFonts w:ascii="Arial" w:cs="Arial" w:eastAsia="Arial" w:hAnsi="Arial"/>
                <w:sz w:val="18"/>
                <w:szCs w:val="18"/>
                <w:color w:val="0000EE"/>
                <w:w w:val="98"/>
              </w:rPr>
            </w:pPr>
            <w:hyperlink w:anchor="page66">
              <w:r>
                <w:rPr>
                  <w:rFonts w:ascii="Arial" w:cs="Arial" w:eastAsia="Arial" w:hAnsi="Arial"/>
                  <w:sz w:val="18"/>
                  <w:szCs w:val="18"/>
                  <w:color w:val="0000EE"/>
                  <w:w w:val="98"/>
                </w:rPr>
                <w:t>PART II</w:t>
              </w:r>
            </w:hyperlink>
          </w:p>
        </w:tc>
        <w:tc>
          <w:tcPr>
            <w:tcW w:w="386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0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Market for Registrant’s Common Equity, Related Stockholder Matters and Issuer Purchases</w:t>
              </w:r>
            </w:hyperlink>
          </w:p>
        </w:tc>
        <w:tc>
          <w:tcPr>
            <w:tcW w:w="14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Item 5.</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of Equity Securities.</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Item 6</w:t>
              </w:r>
            </w:hyperlink>
            <w:r>
              <w:rPr>
                <w:rFonts w:ascii="Arial" w:cs="Arial" w:eastAsia="Arial" w:hAnsi="Arial"/>
                <w:sz w:val="18"/>
                <w:szCs w:val="18"/>
                <w:color w:val="000000"/>
              </w:rPr>
              <w:t>.</w:t>
            </w:r>
          </w:p>
        </w:tc>
        <w:tc>
          <w:tcPr>
            <w:tcW w:w="7440" w:type="dxa"/>
            <w:vAlign w:val="bottom"/>
            <w:gridSpan w:val="33"/>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[Reserved]</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Item 7.</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Management’s Discussion and Analysis of Financial Condition and Results of Operations</w:t>
              </w:r>
            </w:hyperlink>
            <w:r>
              <w:rPr>
                <w:rFonts w:ascii="Arial" w:cs="Arial" w:eastAsia="Arial" w:hAnsi="Arial"/>
                <w:sz w:val="18"/>
                <w:szCs w:val="18"/>
                <w:color w:val="000000"/>
              </w:rPr>
              <w:t>.</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Item 7A.</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6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Item 8.</w:t>
              </w:r>
            </w:hyperlink>
          </w:p>
        </w:tc>
        <w:tc>
          <w:tcPr>
            <w:tcW w:w="120" w:type="dxa"/>
            <w:vAlign w:val="bottom"/>
            <w:gridSpan w:val="2"/>
          </w:tcPr>
          <w:p>
            <w:pPr>
              <w:spacing w:after="0"/>
              <w:rPr>
                <w:sz w:val="15"/>
                <w:szCs w:val="15"/>
                <w:color w:val="auto"/>
              </w:rPr>
            </w:pPr>
          </w:p>
        </w:tc>
        <w:tc>
          <w:tcPr>
            <w:tcW w:w="47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Financial Statements and Supplementary Data.</w:t>
              </w:r>
            </w:hyperlink>
          </w:p>
        </w:tc>
        <w:tc>
          <w:tcPr>
            <w:tcW w:w="2680" w:type="dxa"/>
            <w:vAlign w:val="bottom"/>
            <w:gridSpan w:val="7"/>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Item 9.</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80" w:type="dxa"/>
            <w:vAlign w:val="bottom"/>
            <w:gridSpan w:val="4"/>
          </w:tcPr>
          <w:p>
            <w:pPr>
              <w:spacing w:after="0" w:line="182" w:lineRule="exact"/>
              <w:rPr>
                <w:rFonts w:ascii="Arial" w:cs="Arial" w:eastAsia="Arial" w:hAnsi="Arial"/>
                <w:sz w:val="18"/>
                <w:szCs w:val="18"/>
                <w:color w:val="0000EE"/>
                <w:w w:val="98"/>
              </w:rPr>
            </w:pPr>
            <w:hyperlink w:anchor="page80">
              <w:r>
                <w:rPr>
                  <w:rFonts w:ascii="Arial" w:cs="Arial" w:eastAsia="Arial" w:hAnsi="Arial"/>
                  <w:sz w:val="18"/>
                  <w:szCs w:val="18"/>
                  <w:color w:val="0000EE"/>
                  <w:w w:val="98"/>
                </w:rPr>
                <w:t>Item 9A.</w:t>
              </w:r>
            </w:hyperlink>
          </w:p>
        </w:tc>
        <w:tc>
          <w:tcPr>
            <w:tcW w:w="100" w:type="dxa"/>
            <w:vAlign w:val="bottom"/>
          </w:tcPr>
          <w:p>
            <w:pPr>
              <w:spacing w:after="0"/>
              <w:rPr>
                <w:sz w:val="15"/>
                <w:szCs w:val="15"/>
                <w:color w:val="auto"/>
              </w:rPr>
            </w:pPr>
          </w:p>
        </w:tc>
        <w:tc>
          <w:tcPr>
            <w:tcW w:w="7440" w:type="dxa"/>
            <w:vAlign w:val="bottom"/>
            <w:gridSpan w:val="33"/>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81">
              <w:r>
                <w:rPr>
                  <w:rFonts w:ascii="Arial" w:cs="Arial" w:eastAsia="Arial" w:hAnsi="Arial"/>
                  <w:sz w:val="18"/>
                  <w:szCs w:val="18"/>
                  <w:color w:val="0000EE"/>
                  <w:w w:val="98"/>
                </w:rPr>
                <w:t>Item 9B.</w:t>
              </w:r>
            </w:hyperlink>
          </w:p>
        </w:tc>
        <w:tc>
          <w:tcPr>
            <w:tcW w:w="1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Other Information.</w:t>
              </w:r>
            </w:hyperlink>
          </w:p>
        </w:tc>
        <w:tc>
          <w:tcPr>
            <w:tcW w:w="580" w:type="dxa"/>
            <w:vAlign w:val="bottom"/>
            <w:tcBorders>
              <w:top w:val="single" w:sz="8" w:color="0000EE"/>
            </w:tcBorders>
            <w:gridSpan w:val="5"/>
          </w:tcPr>
          <w:p>
            <w:pPr>
              <w:spacing w:after="0"/>
              <w:rPr>
                <w:sz w:val="15"/>
                <w:szCs w:val="15"/>
                <w:color w:val="auto"/>
              </w:rPr>
            </w:pPr>
          </w:p>
        </w:tc>
        <w:tc>
          <w:tcPr>
            <w:tcW w:w="5400" w:type="dxa"/>
            <w:vAlign w:val="bottom"/>
            <w:gridSpan w:val="21"/>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80" w:type="dxa"/>
            <w:vAlign w:val="bottom"/>
            <w:gridSpan w:val="4"/>
          </w:tcPr>
          <w:p>
            <w:pPr>
              <w:spacing w:after="0" w:line="182"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Item 9C.</w:t>
              </w:r>
            </w:hyperlink>
          </w:p>
        </w:tc>
        <w:tc>
          <w:tcPr>
            <w:tcW w:w="100" w:type="dxa"/>
            <w:vAlign w:val="bottom"/>
          </w:tcPr>
          <w:p>
            <w:pPr>
              <w:spacing w:after="0"/>
              <w:rPr>
                <w:sz w:val="15"/>
                <w:szCs w:val="15"/>
                <w:color w:val="auto"/>
              </w:rPr>
            </w:pPr>
          </w:p>
        </w:tc>
        <w:tc>
          <w:tcPr>
            <w:tcW w:w="7440" w:type="dxa"/>
            <w:vAlign w:val="bottom"/>
            <w:gridSpan w:val="33"/>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Disclosure Regarding Foreign Jurisdictions that Prevent Inspections</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bottom w:val="single" w:sz="8" w:color="0000EE"/>
            </w:tcBorders>
            <w:gridSpan w:val="7"/>
          </w:tcPr>
          <w:p>
            <w:pPr>
              <w:jc w:val="cente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PART III</w:t>
              </w:r>
            </w:hyperlink>
          </w:p>
        </w:tc>
        <w:tc>
          <w:tcPr>
            <w:tcW w:w="1800" w:type="dxa"/>
            <w:vAlign w:val="bottom"/>
            <w:tcBorders>
              <w:top w:val="single" w:sz="8" w:color="0000EE"/>
            </w:tcBorders>
            <w:gridSpan w:val="5"/>
          </w:tcPr>
          <w:p>
            <w:pPr>
              <w:spacing w:after="0"/>
              <w:rPr>
                <w:sz w:val="24"/>
                <w:szCs w:val="24"/>
                <w:color w:val="auto"/>
              </w:rPr>
            </w:pPr>
          </w:p>
        </w:tc>
        <w:tc>
          <w:tcPr>
            <w:tcW w:w="204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Item 10.</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Directors, Executive Officers and Corporate Governance.</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Item 11.</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33"/>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Security Ownership of Certain Beneficial Owners and Management and Related Stockholder</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Item 12.</w:t>
              </w:r>
            </w:hyperlink>
          </w:p>
        </w:tc>
        <w:tc>
          <w:tcPr>
            <w:tcW w:w="736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Matters.</w:t>
              </w:r>
            </w:hyperlink>
          </w:p>
        </w:tc>
        <w:tc>
          <w:tcPr>
            <w:tcW w:w="80" w:type="dxa"/>
            <w:vAlign w:val="bottom"/>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Item 13.</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Transactions, and Director Independence.</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Item 14.</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Principal Accounting Fees and Services.</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4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20" w:type="dxa"/>
            <w:vAlign w:val="bottom"/>
            <w:gridSpan w:val="19"/>
          </w:tcPr>
          <w:p>
            <w:pPr>
              <w:jc w:val="center"/>
              <w:ind w:right="3840"/>
              <w:spacing w:after="0"/>
              <w:rPr>
                <w:rFonts w:ascii="Arial" w:cs="Arial" w:eastAsia="Arial" w:hAnsi="Arial"/>
                <w:sz w:val="18"/>
                <w:szCs w:val="18"/>
                <w:color w:val="0000EE"/>
                <w:w w:val="97"/>
              </w:rPr>
            </w:pPr>
            <w:hyperlink w:anchor="page82">
              <w:r>
                <w:rPr>
                  <w:rFonts w:ascii="Arial" w:cs="Arial" w:eastAsia="Arial" w:hAnsi="Arial"/>
                  <w:sz w:val="18"/>
                  <w:szCs w:val="18"/>
                  <w:color w:val="0000EE"/>
                  <w:w w:val="97"/>
                </w:rPr>
                <w:t>PART IV</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840" w:type="dxa"/>
            <w:vAlign w:val="bottom"/>
            <w:gridSpan w:val="1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Item 15.</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Exhibits, Financial Statement Schedules.</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4180" w:type="dxa"/>
            <w:vAlign w:val="bottom"/>
            <w:gridSpan w:val="1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Item 16.</w:t>
              </w:r>
            </w:hyperlink>
          </w:p>
        </w:tc>
        <w:tc>
          <w:tcPr>
            <w:tcW w:w="7440" w:type="dxa"/>
            <w:vAlign w:val="bottom"/>
            <w:gridSpan w:val="33"/>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EXHIBIT INDEX</w:t>
              </w:r>
            </w:hyperlink>
          </w:p>
        </w:tc>
        <w:tc>
          <w:tcPr>
            <w:tcW w:w="5760" w:type="dxa"/>
            <w:vAlign w:val="bottom"/>
            <w:gridSpan w:val="23"/>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SIGNATURES</w:t>
              </w:r>
            </w:hyperlink>
          </w:p>
        </w:tc>
        <w:tc>
          <w:tcPr>
            <w:tcW w:w="6140" w:type="dxa"/>
            <w:vAlign w:val="bottom"/>
            <w:gridSpan w:val="27"/>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All statements other than statements of historical facts contained herein,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6"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described under the sections entitled “Risk Factors” and “Management’s Discussion and Analysis of Financial Condition and Results of Operations” and elsewhere herein.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in this Annual Report on Form 10-K, whether as a result of any new information, future events, changed circumstances or otherwise.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Channels to Disseminate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announces material information to the public about the Company, its products and services and</w:t>
      </w:r>
    </w:p>
    <w:p>
      <w:pPr>
        <w:ind w:left="60"/>
        <w:spacing w:after="0" w:line="234" w:lineRule="auto"/>
        <w:rPr>
          <w:sz w:val="20"/>
          <w:szCs w:val="20"/>
          <w:color w:val="auto"/>
        </w:rPr>
      </w:pPr>
      <w:r>
        <w:rPr>
          <w:rFonts w:ascii="Arial" w:cs="Arial" w:eastAsia="Arial" w:hAnsi="Arial"/>
          <w:sz w:val="18"/>
          <w:szCs w:val="18"/>
          <w:color w:val="auto"/>
        </w:rPr>
        <w:t>other matters through a variety of means, including filings with the U.S. Securities and Exchange Commission,</w:t>
      </w:r>
    </w:p>
    <w:p>
      <w:pPr>
        <w:ind w:left="60"/>
        <w:spacing w:after="0" w:line="235" w:lineRule="auto"/>
        <w:rPr>
          <w:sz w:val="20"/>
          <w:szCs w:val="20"/>
          <w:color w:val="auto"/>
        </w:rPr>
      </w:pPr>
      <w:r>
        <w:rPr>
          <w:rFonts w:ascii="Arial" w:cs="Arial" w:eastAsia="Arial" w:hAnsi="Arial"/>
          <w:sz w:val="18"/>
          <w:szCs w:val="18"/>
          <w:color w:val="auto"/>
        </w:rPr>
        <w:t>or SEC, press releases, public conference calls, the Company’s website (</w:t>
      </w:r>
      <w:r>
        <w:rPr>
          <w:rFonts w:ascii="Arial" w:cs="Arial" w:eastAsia="Arial" w:hAnsi="Arial"/>
          <w:sz w:val="18"/>
          <w:szCs w:val="18"/>
          <w:u w:val="single" w:color="auto"/>
          <w:color w:val="auto"/>
        </w:rPr>
        <w:t>https://neurostar.com/neuronetics/</w:t>
      </w:r>
      <w:r>
        <w:rPr>
          <w:rFonts w:ascii="Arial" w:cs="Arial" w:eastAsia="Arial" w:hAnsi="Arial"/>
          <w:sz w:val="18"/>
          <w:szCs w:val="18"/>
          <w:color w:val="auto"/>
        </w:rPr>
        <w:t>),</w:t>
      </w:r>
    </w:p>
    <w:p>
      <w:pPr>
        <w:ind w:left="60"/>
        <w:spacing w:after="0" w:line="235" w:lineRule="auto"/>
        <w:rPr>
          <w:sz w:val="20"/>
          <w:szCs w:val="20"/>
          <w:color w:val="auto"/>
        </w:rPr>
      </w:pPr>
      <w:r>
        <w:rPr>
          <w:rFonts w:ascii="Arial" w:cs="Arial" w:eastAsia="Arial" w:hAnsi="Arial"/>
          <w:sz w:val="18"/>
          <w:szCs w:val="18"/>
          <w:color w:val="auto"/>
        </w:rPr>
        <w:t>including the Investors section thereof, and/or social media, including its Facebook page</w:t>
      </w:r>
    </w:p>
    <w:p>
      <w:pPr>
        <w:ind w:left="6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https://www.facebook.com/NeuroStarAdvancedTMS/</w:t>
      </w:r>
      <w:r>
        <w:rPr>
          <w:rFonts w:ascii="Arial" w:cs="Arial" w:eastAsia="Arial" w:hAnsi="Arial"/>
          <w:sz w:val="18"/>
          <w:szCs w:val="18"/>
          <w:color w:val="auto"/>
        </w:rPr>
        <w:t>), Twitter account (@TMSTherapy), Instagram account</w:t>
      </w:r>
    </w:p>
    <w:p>
      <w:pPr>
        <w:ind w:left="60"/>
        <w:spacing w:after="0" w:line="235" w:lineRule="auto"/>
        <w:rPr>
          <w:sz w:val="20"/>
          <w:szCs w:val="20"/>
          <w:color w:val="auto"/>
        </w:rPr>
      </w:pPr>
      <w:r>
        <w:rPr>
          <w:rFonts w:ascii="Arial" w:cs="Arial" w:eastAsia="Arial" w:hAnsi="Arial"/>
          <w:sz w:val="18"/>
          <w:szCs w:val="18"/>
          <w:color w:val="auto"/>
        </w:rPr>
        <w:t>(@NeurostarAdvancedTMS), YouTube account (</w:t>
      </w:r>
      <w:r>
        <w:rPr>
          <w:rFonts w:ascii="Arial" w:cs="Arial" w:eastAsia="Arial" w:hAnsi="Arial"/>
          <w:sz w:val="18"/>
          <w:szCs w:val="18"/>
          <w:u w:val="single" w:color="auto"/>
          <w:color w:val="auto"/>
        </w:rPr>
        <w:t>https://www.youtube.com/user/NeuroStarTMSTherapy</w:t>
      </w:r>
      <w:r>
        <w:rPr>
          <w:rFonts w:ascii="Arial" w:cs="Arial" w:eastAsia="Arial" w:hAnsi="Arial"/>
          <w:sz w:val="18"/>
          <w:szCs w:val="18"/>
          <w:color w:val="auto"/>
        </w:rPr>
        <w:t>) and/or</w:t>
      </w:r>
    </w:p>
    <w:p>
      <w:pPr>
        <w:ind w:left="60"/>
        <w:spacing w:after="0" w:line="234" w:lineRule="auto"/>
        <w:rPr>
          <w:sz w:val="20"/>
          <w:szCs w:val="20"/>
          <w:color w:val="auto"/>
        </w:rPr>
      </w:pPr>
      <w:r>
        <w:rPr>
          <w:rFonts w:ascii="Arial" w:cs="Arial" w:eastAsia="Arial" w:hAnsi="Arial"/>
          <w:sz w:val="18"/>
          <w:szCs w:val="18"/>
          <w:color w:val="auto"/>
        </w:rPr>
        <w:t>LinkedIn account (</w:t>
      </w:r>
      <w:r>
        <w:rPr>
          <w:rFonts w:ascii="Arial" w:cs="Arial" w:eastAsia="Arial" w:hAnsi="Arial"/>
          <w:sz w:val="18"/>
          <w:szCs w:val="18"/>
          <w:u w:val="single" w:color="auto"/>
          <w:color w:val="auto"/>
        </w:rPr>
        <w:t>https://www.linkedin.com/company/neuronetics-inc./</w:t>
      </w:r>
      <w:r>
        <w:rPr>
          <w:rFonts w:ascii="Arial" w:cs="Arial" w:eastAsia="Arial" w:hAnsi="Arial"/>
          <w:sz w:val="18"/>
          <w:szCs w:val="18"/>
          <w:color w:val="auto"/>
        </w:rPr>
        <w:t>), in order to achieve broad, non-</w:t>
      </w:r>
    </w:p>
    <w:p>
      <w:pPr>
        <w:ind w:left="60"/>
        <w:spacing w:after="0" w:line="235" w:lineRule="auto"/>
        <w:rPr>
          <w:sz w:val="20"/>
          <w:szCs w:val="20"/>
          <w:color w:val="auto"/>
        </w:rPr>
      </w:pPr>
      <w:r>
        <w:rPr>
          <w:rFonts w:ascii="Arial" w:cs="Arial" w:eastAsia="Arial" w:hAnsi="Arial"/>
          <w:sz w:val="18"/>
          <w:szCs w:val="18"/>
          <w:color w:val="auto"/>
        </w:rPr>
        <w:t>exclusionary distribution of information to the public. The Company encourages investors and others to review</w:t>
      </w:r>
    </w:p>
    <w:p>
      <w:pPr>
        <w:ind w:left="60"/>
        <w:spacing w:after="0" w:line="235" w:lineRule="auto"/>
        <w:rPr>
          <w:sz w:val="20"/>
          <w:szCs w:val="20"/>
          <w:color w:val="auto"/>
        </w:rPr>
      </w:pPr>
      <w:r>
        <w:rPr>
          <w:rFonts w:ascii="Arial" w:cs="Arial" w:eastAsia="Arial" w:hAnsi="Arial"/>
          <w:sz w:val="18"/>
          <w:szCs w:val="18"/>
          <w:color w:val="auto"/>
        </w:rPr>
        <w:t>the information it makes public in these locations, as such information could be deemed to be material</w:t>
      </w:r>
    </w:p>
    <w:p>
      <w:pPr>
        <w:ind w:left="60"/>
        <w:spacing w:after="0" w:line="235" w:lineRule="auto"/>
        <w:rPr>
          <w:sz w:val="20"/>
          <w:szCs w:val="20"/>
          <w:color w:val="auto"/>
        </w:rPr>
      </w:pPr>
      <w:r>
        <w:rPr>
          <w:rFonts w:ascii="Arial" w:cs="Arial" w:eastAsia="Arial" w:hAnsi="Arial"/>
          <w:sz w:val="18"/>
          <w:szCs w:val="18"/>
          <w:color w:val="auto"/>
        </w:rPr>
        <w:t>information. Please note that this list may be updated from time to time. Our internet website, Facebook page,</w:t>
      </w:r>
    </w:p>
    <w:p>
      <w:pPr>
        <w:ind w:left="60"/>
        <w:spacing w:after="0"/>
        <w:rPr>
          <w:sz w:val="20"/>
          <w:szCs w:val="20"/>
          <w:color w:val="auto"/>
        </w:rPr>
      </w:pPr>
      <w:r>
        <w:rPr>
          <w:rFonts w:ascii="Arial" w:cs="Arial" w:eastAsia="Arial" w:hAnsi="Arial"/>
          <w:sz w:val="17"/>
          <w:szCs w:val="17"/>
          <w:color w:val="auto"/>
        </w:rPr>
        <w:t>Instagram account, YouTube account and LinkedIn account, and the information contained therein or connected</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thereto, shall not be and is not intended to be incorporated by reference into this Annual Report on Form 10-K</w:t>
      </w:r>
    </w:p>
    <w:p>
      <w:pPr>
        <w:ind w:left="60"/>
        <w:spacing w:after="0"/>
        <w:rPr>
          <w:sz w:val="20"/>
          <w:szCs w:val="20"/>
          <w:color w:val="auto"/>
        </w:rPr>
      </w:pPr>
      <w:r>
        <w:rPr>
          <w:rFonts w:ascii="Arial" w:cs="Arial" w:eastAsia="Arial" w:hAnsi="Arial"/>
          <w:sz w:val="18"/>
          <w:szCs w:val="18"/>
          <w:color w:val="auto"/>
        </w:rPr>
        <w:t>or our other filings with the SEC unless otherwise expressly provided.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at least one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the estimated 121,960 global patients treated with over 4.3 million of our treatment sessions through December 31, 2021. We generated revenues of $55.3 million for the year ended December 31, 2021.</w:t>
      </w:r>
    </w:p>
    <w:p>
      <w:pPr>
        <w:spacing w:after="0" w:line="20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MDD is a mood disorder characterized by the presence of one or both of two major diagnostic criteria: a depressed mood or loss of interest in pleasure that continues for at least two weeks. The presence of at least one of these diagnostic symptoms must be accompanied by several of the following additional symptoms: sleep disturbance, changes in appetite, sexual dysfunction, anxiety, fatigue, difficulty concentrating and suicidal thinking. MDD is a recurrent disease and follows a fluctuating course over an individual’s lifetime, that can be characterized by periods of remission and relapse.</w:t>
      </w:r>
    </w:p>
    <w:p>
      <w:pPr>
        <w:spacing w:after="0" w:line="205"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 xml:space="preserve">The World Health Organization, or WHO, ranks MDD as the single largest contributor to global disability and a major contributor to suicide worldwide. According to a study published in the </w:t>
      </w:r>
      <w:r>
        <w:rPr>
          <w:rFonts w:ascii="Arial" w:cs="Arial" w:eastAsia="Arial" w:hAnsi="Arial"/>
          <w:sz w:val="18"/>
          <w:szCs w:val="18"/>
          <w:i w:val="1"/>
          <w:iCs w:val="1"/>
          <w:color w:val="auto"/>
        </w:rPr>
        <w:t>Journal of Clinical Psychiatry</w:t>
      </w:r>
      <w:r>
        <w:rPr>
          <w:rFonts w:ascii="Arial" w:cs="Arial" w:eastAsia="Arial" w:hAnsi="Arial"/>
          <w:sz w:val="18"/>
          <w:szCs w:val="18"/>
          <w:color w:val="auto"/>
        </w:rPr>
        <w:t xml:space="preserve">, the economic burden of MDD was estimated to be $210 billion in 2010 in the United States, including outpatient and inpatient medical costs, pharmacy costs, suicide related costs and workplace costs. A study published in </w:t>
      </w:r>
      <w:r>
        <w:rPr>
          <w:rFonts w:ascii="Arial" w:cs="Arial" w:eastAsia="Arial" w:hAnsi="Arial"/>
          <w:sz w:val="18"/>
          <w:szCs w:val="18"/>
          <w:i w:val="1"/>
          <w:iCs w:val="1"/>
          <w:color w:val="auto"/>
        </w:rPr>
        <w:t xml:space="preserve">Psychological Medicine </w:t>
      </w:r>
      <w:r>
        <w:rPr>
          <w:rFonts w:ascii="Arial" w:cs="Arial" w:eastAsia="Arial" w:hAnsi="Arial"/>
          <w:sz w:val="18"/>
          <w:szCs w:val="18"/>
          <w:color w:val="auto"/>
        </w:rPr>
        <w:t>reported a global incidence rate of MDD is 3.0% and the WHO estimates that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over 300 million people in the world living with depression. Based on U.S. Census Bureau data and a study published in the </w:t>
      </w:r>
      <w:r>
        <w:rPr>
          <w:rFonts w:ascii="Arial" w:cs="Arial" w:eastAsia="Arial" w:hAnsi="Arial"/>
          <w:sz w:val="18"/>
          <w:szCs w:val="18"/>
          <w:i w:val="1"/>
          <w:iCs w:val="1"/>
          <w:color w:val="auto"/>
        </w:rPr>
        <w:t>Journal of the American Medical Association,</w:t>
      </w:r>
      <w:r>
        <w:rPr>
          <w:rFonts w:ascii="Arial" w:cs="Arial" w:eastAsia="Arial" w:hAnsi="Arial"/>
          <w:sz w:val="18"/>
          <w:szCs w:val="18"/>
          <w:color w:val="auto"/>
        </w:rPr>
        <w:t xml:space="preserve"> we estimate that approximately 21 million people in the United States suffer from MDD annually. Of these people, we estimate approximately 21.0 million are adults aged 22 to 70 years, of whom an estimated 13.9 million, based on data from the </w:t>
      </w:r>
      <w:r>
        <w:rPr>
          <w:rFonts w:ascii="Arial" w:cs="Arial" w:eastAsia="Arial" w:hAnsi="Arial"/>
          <w:sz w:val="18"/>
          <w:szCs w:val="18"/>
          <w:i w:val="1"/>
          <w:iCs w:val="1"/>
          <w:color w:val="auto"/>
        </w:rPr>
        <w:t>Journal of the 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Medical Association</w:t>
      </w:r>
      <w:r>
        <w:rPr>
          <w:rFonts w:ascii="Arial" w:cs="Arial" w:eastAsia="Arial" w:hAnsi="Arial"/>
          <w:sz w:val="18"/>
          <w:szCs w:val="18"/>
          <w:color w:val="auto"/>
        </w:rPr>
        <w:t>, are being treated by a psychiatrist. We estimate, based on data from the Sequenced</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Alternatives to Relieve Depression, or the STAR*D study, that approximately 6.4 million of these patients have failed to achieve remission of their MDD from their prior antidepressant medication therapy and that approximately 3.8 million of those patients have commercial insurance or Medicare coverage for NeuroStar Advanced Therapy. As a result, based on our expected revenues for a standard course of treatment, we believe our total annual addressable market opportunity for treatment sessions in the United States is approximately $9.6 billion.</w:t>
      </w:r>
    </w:p>
    <w:p>
      <w:pPr>
        <w:spacing w:after="0" w:line="21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Initial treatment options for MDD often consist of antidepressant medication prescribed by a primary care physician. Although a variety of antidepressant medications are available, drug therapy has at least two primary limitations: limited effectiveness and treatment-emergent side effects. These limitations were demonstrated in the STAR*D study, a large clinical trial funded by the U.S. National Institute of Mental Health, or NIMH, that enrolled more than 4,000 adult MDD patients at 41 clinical sites to examine the outcomes to a sequenced series of antidepressant medication attempts that mimicked best practices. In the study, only approximately 28% and 21% of patients achieved remission in their first and second medication attempts, respectively. Many patients taking antidepressant medications experience intolerable or troubling side effects that contribute to a delay or failure in attaining an effective or optimal antidepressant dose, poor patient treatment adherence or discontinuation of treatment therapy. The likelihood of achieving remission is limited and declines with each successive medication attempt.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TMS is considered to be an appropriate therapy for the treatment of MDD patients who have failed to achieve satisfactory improvement from at least one prior antidepressant medication. TMS is typically performed as an office-based procedure using a capital equipment system designed to deliver the magnetic pulses necessary to stimulate the specific areas of the brain associated with mood. A course of treatment typically requires treatment sessions five times a week for up to six weeks that can last from as low as three to as long as forty-five minutes per session. We believe the effectiveness of TMS depends on the psychiatrist’s ability to deliver a precise amount of magnetic pulses to a specific area of the brain in a manner that can be consistently repeated during each treatment session.</w:t>
      </w:r>
    </w:p>
    <w:p>
      <w:pPr>
        <w:spacing w:after="0" w:line="20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designed the NeuroStar Advanced Therapy as a non-invasive therapeutic alternative to treat patients who suffer from MDD and to address many of the key limitations of existing treatment options. We believe our NeuroStar Advanced Therapy provides our psychiatrist customers and their patients with several benefits, including clinically demonstrated response and remission with durable results, a demonstrated safety profile with limited treatment-emergent side effects and high patient adherence. Additionally, NeuroStar Advanced Therapy was designed to provide a precise and reproducible office -based therapy that is also efficient and convenient. Our therapy is delivered without general anesthesia or sedation, enabling the patient to drive and resume normal activities immediately following each treatment session. We couple our product’s clinical benefits with significant practice development resources, on-site clinical training and reimbursement and service support to help our psychiatrist customers develop a successful NeuroStar Advanced Therapy practice. We also provide cloud-based practice management solutions that enhance convenience for both psychiatrists and patients. Based on our commercial data, we believe psychiatrists can recoup their initial capital investment in our system by providing a standard course of treatment to approximately 12 patients, assuming these patients receive reimbursement from Medicare or commercial insurance at rates that are similar to what our customers have observed for existing and prior patients. We believe psychiatrists can generate approximately $8,500 of average revenue per patient for a standard course of treatment, which may provide meaningful incremental income to their practices. We believe that the NeuroStar Advanced Therapy coupled with these advantages offer significant improvement over competing TMS, which lack the ability to reproduce consistent treatments, significant clinical data from randomized outcome trials, practice development resources, and a cloud-based practice management system.</w:t>
      </w:r>
    </w:p>
    <w:p>
      <w:pPr>
        <w:spacing w:after="0" w:line="21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safety, effectiveness and durability of NeuroStar Advanced Therapy is supported by a large clinical data set published in 28 articles in peer-reviewed medical journals, including from 15 clinical studies that have collectively enrolled more than 1,000 adult patients suffering from MDD. Dunner, et. al. published results of a naturalistic, prospective, observational trial conducted at 42 U.S. clinical sites in 257 patients who had tried and failed to receive relief from one or more medication trials in their current MDD episode who were treated with an acute course of NeuroStar Advanced Therapy. Response and remission rates at 12 months were 68% and 45% respectively as measured by CGI-S.</w:t>
      </w:r>
    </w:p>
    <w:p>
      <w:pPr>
        <w:spacing w:after="0" w:line="203"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Our growth strategy includes expanding our commercialization efforts in the United States, expanding international opportunities and pursuing pipeline development of our therapy for additional indications. Outside the United States, our products have received marketing authorizations in the European Union and Japan. Our initial international commercial focus is Japan, which has the third largest healthcare spend globally. We have entered into an exclusive distribution agreement with Teijin Pharma Limited, or Teijin, a leading Japanese healthcare company, to further expand our commercialization efforts in this market. We are also evaluating the use of enhancements to our NeuroStar Advanced Therapy System to treat additional indications related to neurohealth disorders.</w:t>
      </w:r>
    </w:p>
    <w:p>
      <w:pPr>
        <w:spacing w:after="0" w:line="20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As of December 31, 2021, we had 959 active sites utilizing our NeuroStar Advanced Therapy Systems in the United States. We currently sell our NeuroStar Advanced Therapy System and recurring treatment sessions in the United States with the collaborative support of our 175 employees as of December 31, 2021. Our sales force targets an estimated 50,000 psychiatrists across 26,000 psychiatric practices in the United States, based on data from Symphony Health and our own internal estimates that treat approximately 42% of the total MDD patients in the United States who meet our labeled indication and are insured. Patients are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reimbursed by Medicare and the vast majority of commercial payors in the United States for treatment sessions utilizing our NeuroStar Advanced Therapy System.</w:t>
      </w:r>
    </w:p>
    <w:p>
      <w:pPr>
        <w:spacing w:after="0" w:line="19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generate revenues from initial capital sales of our systems, sales of our recurring treatment sessions and from service and repair and extended warranty contracts. We derive the majority of our revenues from recurring treatment sessions. For the year ended December 31, 2021, we generated revenues of $55.3 million and had a net loss of $31.2 million. Our revenues increased 12% during the year ended December 31, 2021 compared to the year ended December 31, 2020. For the year ended December 31, 2021, our U.S. revenues were $53.4 million, compared to $ 47.5 million for the year ended December 31, 2020, which represented an increase of 12% compared to the prior period. Revenues from treatment sessions represented 78% of our U.S. revenues for the year ended December 31, 2021 compared to 73% of our U.S. revenues for the prior year.</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60" w:right="779"/>
        <w:spacing w:after="0" w:line="246" w:lineRule="auto"/>
        <w:rPr>
          <w:sz w:val="20"/>
          <w:szCs w:val="20"/>
          <w:color w:val="auto"/>
        </w:rPr>
      </w:pPr>
      <w:r>
        <w:rPr>
          <w:rFonts w:ascii="Arial" w:cs="Arial" w:eastAsia="Arial" w:hAnsi="Arial"/>
          <w:sz w:val="18"/>
          <w:szCs w:val="18"/>
          <w:color w:val="auto"/>
        </w:rPr>
        <w:t>Our goal is to maintain and extend our leadership position in TMS therapy for patients with neurohealth disorders. The key elements of our strategy include:</w:t>
      </w:r>
    </w:p>
    <w:p>
      <w:pPr>
        <w:spacing w:after="0" w:line="175" w:lineRule="exact"/>
        <w:rPr>
          <w:sz w:val="20"/>
          <w:szCs w:val="20"/>
          <w:color w:val="auto"/>
        </w:rPr>
      </w:pPr>
    </w:p>
    <w:p>
      <w:pPr>
        <w:ind w:left="720" w:right="79" w:hanging="319"/>
        <w:spacing w:after="0" w:line="23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customer targeting and expand our direct sales and customer support team to accelerate growth. </w:t>
      </w:r>
      <w:r>
        <w:rPr>
          <w:rFonts w:ascii="Arial" w:cs="Arial" w:eastAsia="Arial" w:hAnsi="Arial"/>
          <w:sz w:val="18"/>
          <w:szCs w:val="18"/>
          <w:color w:val="auto"/>
        </w:rPr>
        <w:t>To capture new psychiatrist customers, we plan to expand our specialized,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organization that targets MDD treating psychiatric practices that accept reimbursement from private insurance and Medicare. Symphony Health estimates that there are approximately 26,300 group and solo practice sites in the United States with psychiatrists that prescribe antidepressant medications. Our direct sales force primarily targets 50,000 psychiatrists at 26,000 psychiatric practices that we estimate, based on data from Symphony Health and our own internal estimates, treat approximately 2.5 million patients, representing 42% of the total MDD patients in the United States who meet our labeled indication and are insured. We estimate that approximately 1.2 million of these patients have failed prior antidepressant medication attempts in the current MDD episode and are covered by insurance that will provide reimbursement based on this medical status, resulting in a targeted total addressable market of approximately $3.0 billion. We intend to continue to expand our team of business development managers that are responsible for driving new customer acquisitions. To reach our target practices, we also plan to expand our advertising efforts, both online and through more traditional approaches, such as targeting leading psychiatric journals, practice outreach and education through monthly webcasts, attendance at key psychiatric trade shows and sponsoring clinical symposiums and product theaters.</w:t>
      </w:r>
    </w:p>
    <w:p>
      <w:pPr>
        <w:spacing w:after="0" w:line="183" w:lineRule="exact"/>
        <w:rPr>
          <w:rFonts w:ascii="Arial" w:cs="Arial" w:eastAsia="Arial" w:hAnsi="Arial"/>
          <w:sz w:val="18"/>
          <w:szCs w:val="18"/>
          <w:color w:val="auto"/>
        </w:rPr>
      </w:pPr>
    </w:p>
    <w:p>
      <w:pPr>
        <w:ind w:left="720" w:right="99" w:hanging="319"/>
        <w:spacing w:after="0" w:line="23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utilization of our new and existing active customer sites of NeuroStar Advanced Therapy Systems. </w:t>
      </w:r>
      <w:r>
        <w:rPr>
          <w:rFonts w:ascii="Arial" w:cs="Arial" w:eastAsia="Arial" w:hAnsi="Arial"/>
          <w:sz w:val="18"/>
          <w:szCs w:val="18"/>
          <w:color w:val="auto"/>
        </w:rPr>
        <w:t>We plan to expand our sales and customer support team to increase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treated at new and existing active customer sites using our NeuroStar Advanced Therapy Systems in the United States. We currently have 959 active customer sites in the United States. We intend to hire additional clinical training consultants to our existing team of eight who will focus on the ongoing training of our psychiatrist customers and their staff in order to allow our team at the end of 2021 of 26 NeuroStar practice consultants, also known as practice development managers in 2022, to focus exclusively on helping increase patient utilization of NeuroStar Advanced Therapy in a practice. Our NeuroStar practice consultants focus their efforts on helping psychiatrist customers implement our 5 Stars Solution for Practice Success. We intend to make further investments in marketing resources, such as our marketing portal, which consists of customizable practice development and advertising materials, and digital patient outreach tools all of which are designed to drive patient awareness and help identify patients who can benefit from NeuroStar TMS within an existing practice and in the local community. We also plan to invest further in our direct to consumer marketing programs, which is comprised of paid search, display advertising, social media, radio, health portals and public relations.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279" w:hanging="319"/>
        <w:spacing w:after="0" w:line="23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international market opportunities. </w:t>
      </w:r>
      <w:r>
        <w:rPr>
          <w:rFonts w:ascii="Arial" w:cs="Arial" w:eastAsia="Arial" w:hAnsi="Arial"/>
          <w:sz w:val="18"/>
          <w:szCs w:val="18"/>
          <w:color w:val="auto"/>
        </w:rPr>
        <w:t>We primarily sell our products within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and also sell our products through distributors in countries where we have received regulatory approval, including Japan, Saudi Arabia, The United Arab Emirates, Singapore, and the Republic of Korea. We primarily focus our commercial efforts outside of the United States on Japan. We worked with Teijin to obtain reimbursement approval for the NeuroStar Advanced Therapy System in</w:t>
      </w:r>
    </w:p>
    <w:p>
      <w:pPr>
        <w:spacing w:after="0" w:line="3" w:lineRule="exact"/>
        <w:rPr>
          <w:rFonts w:ascii="Arial" w:cs="Arial" w:eastAsia="Arial" w:hAnsi="Arial"/>
          <w:sz w:val="18"/>
          <w:szCs w:val="18"/>
          <w:color w:val="auto"/>
        </w:rPr>
      </w:pPr>
    </w:p>
    <w:p>
      <w:pPr>
        <w:ind w:left="720" w:right="199"/>
        <w:spacing w:after="0"/>
        <w:rPr>
          <w:rFonts w:ascii="Arial" w:cs="Arial" w:eastAsia="Arial" w:hAnsi="Arial"/>
          <w:sz w:val="18"/>
          <w:szCs w:val="18"/>
          <w:color w:val="auto"/>
        </w:rPr>
      </w:pPr>
      <w:r>
        <w:rPr>
          <w:rFonts w:ascii="Arial" w:cs="Arial" w:eastAsia="Arial" w:hAnsi="Arial"/>
          <w:sz w:val="18"/>
          <w:szCs w:val="18"/>
          <w:color w:val="auto"/>
        </w:rPr>
        <w:t>June 2019 and will continue to provide sales, marketing and clinical support to ensure our commercial success. We will continue to opportunistically evaluate additional markets outside the United States and Japan for commercial expansion.</w:t>
      </w:r>
    </w:p>
    <w:p>
      <w:pPr>
        <w:spacing w:after="0" w:line="180" w:lineRule="exact"/>
        <w:rPr>
          <w:rFonts w:ascii="Arial" w:cs="Arial" w:eastAsia="Arial" w:hAnsi="Arial"/>
          <w:sz w:val="18"/>
          <w:szCs w:val="18"/>
          <w:color w:val="auto"/>
        </w:rPr>
      </w:pPr>
    </w:p>
    <w:p>
      <w:pPr>
        <w:ind w:left="720" w:right="199" w:hanging="319"/>
        <w:spacing w:after="0" w:line="218" w:lineRule="auto"/>
        <w:tabs>
          <w:tab w:leader="none" w:pos="72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 xml:space="preserve">Pursue enhancements of our NeuroStar Advanced Therapy System and pipeline development for additional indications. </w:t>
      </w:r>
      <w:r>
        <w:rPr>
          <w:rFonts w:ascii="Arial" w:cs="Arial" w:eastAsia="Arial" w:hAnsi="Arial"/>
          <w:sz w:val="18"/>
          <w:szCs w:val="18"/>
          <w:color w:val="auto"/>
        </w:rPr>
        <w:t>We plan to continue our research and development efforts to enhance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hardware and software components of our NeuroStar Advanced Therapy System for the treatment of MDD and other neurohealth disorders.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invest in research and development for the use of the NeuroStar Advanced Therapy System in neurohealth disorders. Throughout our history, we have provided material support to more than 65 investigator-initiated trials of such prospective additional indications. We are currently considering a number of potential new indications for the use of the NeuroStar Advanced Therapy System related to neurohealth disorders.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Customer Support Team and Customer Training</w:t>
      </w:r>
    </w:p>
    <w:p>
      <w:pPr>
        <w:spacing w:after="0" w:line="234" w:lineRule="exact"/>
        <w:rPr>
          <w:sz w:val="20"/>
          <w:szCs w:val="20"/>
          <w:color w:val="auto"/>
        </w:rPr>
      </w:pPr>
    </w:p>
    <w:p>
      <w:pPr>
        <w:ind w:left="60" w:right="379"/>
        <w:spacing w:after="0" w:line="237" w:lineRule="auto"/>
        <w:rPr>
          <w:sz w:val="20"/>
          <w:szCs w:val="20"/>
          <w:color w:val="auto"/>
        </w:rPr>
      </w:pPr>
      <w:r>
        <w:rPr>
          <w:rFonts w:ascii="Arial" w:cs="Arial" w:eastAsia="Arial" w:hAnsi="Arial"/>
          <w:sz w:val="18"/>
          <w:szCs w:val="18"/>
          <w:color w:val="auto"/>
        </w:rPr>
        <w:t>As of December 31, 2021, our sales and customer support team consisted of 78 employees working collaboratively across the following departments: sales, marketing, field service and customer support, and reimbursement. In 2022, we plan to continue to expand our sales and customer support teams to have the largest direct sales and customer support team in the industry, including 42 NeuroStar practice development managers, 20 area sales managers, 8 clinical training managers, 17 field service and technical support specialists, 13 sales leaders, 6 customer service representatives, 4 inside sales managers and 6 reimbursement specialists and managers.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Marketing—United States</w:t>
      </w:r>
    </w:p>
    <w:p>
      <w:pPr>
        <w:spacing w:after="0" w:line="23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Our commercialization team markets and sells the NeuroStar Advanced Therapy System and recurring treatment sessions in the United States. Our primary focus is on selling to psychiatrists, with primary care physicians and pain management specialists representing a small percentage of our customer base. We target approximately 50,000 psychiatrists across 26,000 psychiatric practices, who we estimate, based on data from Symphony Health and our own internal estimates, treat approximately 42% of MDD patients who meet our labeled indication and are insured. We target these practices by the number of psychiatrists within their practices, the number of patients they treat and their acceptance of commercial insurance and Medicare. We believe that our psychiatrist targeting strategy makes for a well-defined customer base that is accessible by our direct sales organization.</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have structured our sales and customer support team with specialized roles to sell our NeuroStar Advanced Therapy Systems and recurring treatment sessions, while delivering customer service at each stage of the implementation process. Our business development managers, also known as area sales managers in 2022, are responsible for identifying key customer prospects, educating them on the value of NeuroStar Advanced Therapy System, gaining their commitment for capital placement and introducing our NeuroStar practice development managers (“PDMS”). Our PDMs enhance the operational experience for providers and drive implementation of the NeuroStar Advanced Therapy System into our customers’ practices. We created the role of clinical training manager to partner with our customers to conduct initial and ongoing on-site clinical training to ensure clinical and practice success.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Practice Management Support and Psychiatrist Training—United States</w:t>
      </w:r>
    </w:p>
    <w:p>
      <w:pPr>
        <w:spacing w:after="0" w:line="23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NeuroStar PDMs play a pivotal role in ensuring the success of our customers as they implement a new service line into their practice. In the early stages of implementation, they help the practice set goals, educate on the types of patients that can benefit from our therapy and train the office staff on how to talk with patients about TMS and how to use patient educational tools such as presentations, videos and starter kits. Once the practice begins treating patients, they will educate the psychiatrist on how to track clinical outcomes, interpret data and how to effectively convey results to existing and potential patients and referring physicians. Our PDMs also work with our customers to increase awareness with referring physicians and develop external marketing tactics. Our dedicated reimbursement managers help each practice navigate all issues regarding the reimbursement process including investigation of benefits, prior authorizations and claims documentation. This group has assisted our customers to conduct over 31,000 benefit investigations.</w:t>
      </w:r>
    </w:p>
    <w:p>
      <w:pPr>
        <w:spacing w:after="0" w:line="20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Psychiatrists and staff training on the NeuroStar Advanced Therapy System is a key to success within each practice. Our clinical training consultants take the burden of clinical training off our NeuroStar practice consultants and provide a dedicated training resource to each customer. Clinical training consultants conduct at least a three-day, hands on training course that is scheduled after system installation at each practice and also provide ongoing advanced on-site clinical training.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Field Support—United States</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Our field service engineers are responsible for maintenance, repairs and installation of upgrades. We provide a 24/7 support hotline to respond to medical information inquiries and technical questions that arise in all time zones. We pledge to have a field service engineer on-site within 24 hours of a service call. Because of the size and geographical coverage of our field service engineers and our standard 24-hour response time, NeuroStar Advanced Therapy Systems experience over 99% uptime, helping to ensure uninterrupted patient treatments.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International</w:t>
      </w:r>
    </w:p>
    <w:p>
      <w:pPr>
        <w:spacing w:after="0" w:line="23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 Japan, we have an exclusive distribution agreement with Teijin, for the commercialization of our products. The current term of this distribution agreement expires March 31, 2025, subject to automatic renewal unless terminated by either party.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left="60" w:right="419"/>
        <w:spacing w:after="0" w:line="238" w:lineRule="auto"/>
        <w:rPr>
          <w:sz w:val="20"/>
          <w:szCs w:val="20"/>
          <w:color w:val="auto"/>
        </w:rPr>
      </w:pPr>
      <w:r>
        <w:rPr>
          <w:rFonts w:ascii="Arial" w:cs="Arial" w:eastAsia="Arial" w:hAnsi="Arial"/>
          <w:sz w:val="18"/>
          <w:szCs w:val="18"/>
          <w:color w:val="auto"/>
        </w:rPr>
        <w:t>We have competitors that sell other forms of TMS therapy, including Brainsway, Magstim, MagVenture, CloudTMS and Nexstim, that compete directly with the NeuroStar Advanced Therapy System. We also face competition from pharmaceutical and other companies that develop products, such as antidepressant medications, for the treatment of neurohealth disorders.</w:t>
      </w:r>
    </w:p>
    <w:p>
      <w:pPr>
        <w:spacing w:after="0" w:line="205"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For a more comprehensive discussion of the risks related to our intellectual property, please see “Risk Factors – Risks Related to Our Business and Industry.”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left="60" w:right="319"/>
        <w:spacing w:after="0" w:line="237" w:lineRule="auto"/>
        <w:rPr>
          <w:sz w:val="20"/>
          <w:szCs w:val="20"/>
          <w:color w:val="auto"/>
        </w:rPr>
      </w:pPr>
      <w:r>
        <w:rPr>
          <w:rFonts w:ascii="Arial" w:cs="Arial" w:eastAsia="Arial" w:hAnsi="Arial"/>
          <w:sz w:val="18"/>
          <w:szCs w:val="18"/>
          <w:color w:val="auto"/>
        </w:rPr>
        <w:t>Our patent estate includes patents and applications with claims directed to our NeuroStar Advanced Therapy Systems and broader claims for potential future products and developments. On a worldwide basis, as of December 31, 2021, our patent estate included over 100 issued or allowed patents and pending patent applications for our products and novel design methods, manufacturing process, novel TMS devices and systems and future combination products that are mainly designed to treat psychiatric conditions or perform diagnostic procedures. In the United States, as of December 31, 2021, we owned or licensed 41 issued or allowed patents and 7 patent applications filed that are directed to our TMS technology. Outside the United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States, as of December 31, 2021, we owned or licensed 56 issued or allowed patents, 8 pending patent applications and zero pending Patent Cooperation Treaty applications.</w:t>
      </w:r>
    </w:p>
    <w:p>
      <w:pPr>
        <w:spacing w:after="0" w:line="197"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These U.S. issued patents are expected to remain in effect until between 2022 and 2035. Our core patents in the United States will not expire before 2024. Our non-U.S. patents are expected to remain in effect until between 2024 and 2035. Our worldwide intellectual property portfolio includes multiple pending patent applications relating to methods and apparatuses for the treatment of psychiatric health conditions in Australia, Canada, the European Union, Japan and the United States. Our patents and patent applications mainly relate to iron core technology, including materials, manufacturing methods, geometries, applications, and open core technologies, TMS design patents, including coil position, motor threshold level determination, contact sensing, and articulation arm designs, patient comfort, TMS support technologies and pulse monitoring, and potential next generation technologies.</w:t>
      </w:r>
    </w:p>
    <w:p>
      <w:pPr>
        <w:spacing w:after="0" w:line="20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own trade secrets relating to our technology, and we maintain the confidentiality of proprietary information to protect aspects of our business that are not amenable to, or that we do not consider appropriate for, patent protection. We seek to protect our trade secrets and know-how by entering into confidentiality agreements with third-parties, consultants and employees who have access to such trade secrets and know-how.</w:t>
      </w:r>
    </w:p>
    <w:p>
      <w:pPr>
        <w:spacing w:after="0" w:line="205"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For a more comprehensive discussion of the risks related to our intellectual property, please see “Risk Factors —Risks Related to Intellectual Property.”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Supply</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We manage all aspects of product supply through our operations team based in Malvern, Pennsylvania. We outsource the manufacture of components and high-level assemblies, which are produced and tested to our specifications. We rely on third party providers to provide components used in existing products and we expect to continue to do so for future products.</w:t>
      </w:r>
    </w:p>
    <w:p>
      <w:pPr>
        <w:spacing w:after="0" w:line="20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establish our relationships with our third-party manufacturers and suppliers through supplier contracts and purchase orders. In most cases, these supplier relationships may be terminated by either party upon short notice. As of December 31, 2021, we engaged with Spartronics to supply our console; Gharieni Group GmbH to supply our chair; Molex Incorporated to supply our SenStar Treatment Link; Paragon Micro to supply our computer systems as well as other companies to supply components of our chairs and treatment packs.</w:t>
      </w:r>
    </w:p>
    <w:p>
      <w:pPr>
        <w:spacing w:after="0" w:line="202" w:lineRule="exact"/>
        <w:rPr>
          <w:sz w:val="20"/>
          <w:szCs w:val="20"/>
          <w:color w:val="auto"/>
        </w:rPr>
      </w:pPr>
    </w:p>
    <w:p>
      <w:pPr>
        <w:ind w:left="60" w:right="139"/>
        <w:spacing w:after="0" w:line="261" w:lineRule="auto"/>
        <w:rPr>
          <w:sz w:val="20"/>
          <w:szCs w:val="20"/>
          <w:color w:val="auto"/>
        </w:rPr>
      </w:pPr>
      <w:r>
        <w:rPr>
          <w:rFonts w:ascii="Arial" w:cs="Arial" w:eastAsia="Arial" w:hAnsi="Arial"/>
          <w:sz w:val="17"/>
          <w:szCs w:val="17"/>
          <w:color w:val="auto"/>
        </w:rPr>
        <w:t>We closely monitor our supply chains in light of the ongoing COVID-19 pandemic, shipping challenges and global conflict. We have not experienced material delays in obtaining any of our components, nor has the ready supply of finished products to our customers or clinicians been adversely affected by component supply issues.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Reimbursement, Payor Relations and Customer Support</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Based on our estimates, over 65 major private insurers in the United States, including the top 25 largest private insurers, have coverage policies for reimbursement of TMS, including NeuroStar Advanced Therapy, representing approximately over 300 million covered lives or about 95% of the total payor covered lives in the United States. Treatments using NeuroStar Advanced Therapy are also eligible for reimbursement from Medicare, representing an additional 61 million covered lives in the United States as of January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Our products and our operations are subject to extensive regulation by the FDA and other federal and state authorities in the United States, as well as comparable authorities in foreign jurisdictions.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FDA</w:t>
      </w:r>
    </w:p>
    <w:p>
      <w:pPr>
        <w:spacing w:after="0" w:line="230"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Our products are subject to regulation as medical devices under the U.S Federal Food, Drug, and Cosmetic Act, as amended, or the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The marketing authorization process varies from country to country and the time may be longer or shorter than that required for FDA clearance or approval.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230" w:lineRule="exact"/>
        <w:rPr>
          <w:sz w:val="20"/>
          <w:szCs w:val="20"/>
          <w:color w:val="auto"/>
        </w:rPr>
      </w:pPr>
    </w:p>
    <w:p>
      <w:pPr>
        <w:ind w:left="60" w:right="59"/>
        <w:spacing w:after="0" w:line="250"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or PMA approval. Under the FDCA, medical devices are classified into one of three classes—Class I, Class II or Class III—depending on the degree of risk associated with each medical device and the extent of manufacturer and regulatory control needed to ensure its safety and efficacy. Class I includes devices with the lowest risk to the patient and are those for which safety and efficacy can be assured by adherence to the FDA’s General Controls for medical devices, which include compliance with the applicable portions of the quality systems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efficacy of the device. These special controls can include performance standards, post-market surveillance, patient registries, special labeling requirements, premarket data requirements,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w:t>
      </w:r>
    </w:p>
    <w:p>
      <w:pPr>
        <w:spacing w:after="0" w:line="196" w:lineRule="exact"/>
        <w:rPr>
          <w:sz w:val="20"/>
          <w:szCs w:val="20"/>
          <w:color w:val="auto"/>
        </w:rPr>
      </w:pPr>
    </w:p>
    <w:p>
      <w:pPr>
        <w:jc w:val="both"/>
        <w:ind w:left="60" w:right="659"/>
        <w:spacing w:after="0"/>
        <w:rPr>
          <w:sz w:val="20"/>
          <w:szCs w:val="20"/>
          <w:color w:val="auto"/>
        </w:rPr>
      </w:pPr>
      <w:r>
        <w:rPr>
          <w:rFonts w:ascii="Arial" w:cs="Arial" w:eastAsia="Arial" w:hAnsi="Arial"/>
          <w:sz w:val="18"/>
          <w:szCs w:val="18"/>
          <w:color w:val="auto"/>
        </w:rPr>
        <w:t xml:space="preserve">Our NeuroStar Advanced Therapy System is classified as a Class II medical device. We initially received marketing authorization of this device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Subsequently, we have cleared any changes made to our system through the 510(k) clearance process.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510(k) Marketing Clearance Pathway</w:t>
      </w:r>
    </w:p>
    <w:p>
      <w:pPr>
        <w:spacing w:after="0" w:line="23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nine to twelve months, but may take significantly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classification process, which is a route to market for novel medical devices that are low to moderate risk and are not substantially equivalent to a predicate device.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Pre-Market Approval Process</w:t>
      </w:r>
    </w:p>
    <w:p>
      <w:pPr>
        <w:spacing w:after="0" w:line="23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clinical trials, manufacturing and labeling data to demonstrate to the FDA’s satisfaction the safety and effectiveness of the device.</w:t>
      </w:r>
    </w:p>
    <w:p>
      <w:pPr>
        <w:spacing w:after="0" w:line="202"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elaborate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 novo Classification Process</w:t>
      </w:r>
    </w:p>
    <w:p>
      <w:pPr>
        <w:spacing w:after="0" w:line="23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 xml:space="preserve">Medical device types that the FDA has not previously classified as Class I, II, or III are automatically classified as Class III regardless of the level of risk they pose. The Food and Drug Administration Modernization Act of 1997 established a new route to market for low to moderate risk medical devices that are automatically placed into Class III due to the absence of a substantially equivalent predicate device, called the “Request for Evaluation of Automatic Class III Designation,” or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This process allows a manufacturer whose novel device is automatically classified as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or FDASIA, in July 2012, a medical device could only be eligible for </w:t>
      </w:r>
      <w:r>
        <w:rPr>
          <w:rFonts w:ascii="Arial" w:cs="Arial" w:eastAsia="Arial" w:hAnsi="Arial"/>
          <w:sz w:val="18"/>
          <w:szCs w:val="18"/>
          <w:i w:val="1"/>
          <w:iCs w:val="1"/>
          <w:color w:val="auto"/>
        </w:rPr>
        <w:t xml:space="preserve">de novo </w:t>
      </w:r>
      <w:r>
        <w:rPr>
          <w:rFonts w:ascii="Arial" w:cs="Arial" w:eastAsia="Arial" w:hAnsi="Arial"/>
          <w:sz w:val="18"/>
          <w:szCs w:val="18"/>
          <w:color w:val="auto"/>
        </w:rPr>
        <w:t>classification if the manufacturer first submitted a 510(k) premarket notification and received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determination from the FDA that the device was not substantially equivalent to a predicate device. FDASIA streamlined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pathway by permitting manufacturers to request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directly without first submitting a 510(k) premarket notification to the FDA and receiving a not substantially equivalent determination. We originally obtained marketing authorization for our system using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after receiving a not substantially equivalent determination following the submission of a 510(k) premarket notification. We have subsequently used the 510(k) clearance process to obtain authorization from the FDA for changes to our marketed system, including for our TouchStar</w:t>
      </w:r>
      <w:r>
        <w:rPr>
          <w:rFonts w:ascii="Arial" w:cs="Arial" w:eastAsia="Arial" w:hAnsi="Arial"/>
          <w:sz w:val="18"/>
          <w:szCs w:val="18"/>
          <w:i w:val="1"/>
          <w:iCs w:val="1"/>
          <w:color w:val="auto"/>
        </w:rPr>
        <w:t>®</w:t>
      </w:r>
      <w:r>
        <w:rPr>
          <w:rFonts w:ascii="Arial" w:cs="Arial" w:eastAsia="Arial" w:hAnsi="Arial"/>
          <w:sz w:val="18"/>
          <w:szCs w:val="18"/>
          <w:color w:val="auto"/>
        </w:rPr>
        <w:t xml:space="preserve"> treatment, a three-minute intermittent theta burst protocol with our NeuroStar Advanced Therapy System, which was granted clearance by the FDA on November 23, 2020.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Trials</w:t>
      </w:r>
    </w:p>
    <w:p>
      <w:pPr>
        <w:spacing w:after="0" w:line="21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 xml:space="preserve">A clinical trial is typically required to support a PMA application 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and is sometimes required for a 510(k) pre-market notification. Clinical trials for significant risk devices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(IRBs)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Moreover, the results of a clinical trial may not be sufficient to obtain clearance or approval of the product.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to Marketed Devices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After a device receives 510(k) marketing clearance, 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any modification that could significantly affect its safety or efficacy, or that would constitute a major change or modification in its intended use, will require a new 510(k) marketing clearance or, depending on the modification, a de novo classification or PMA approval. The FDA requires each manufacturer to determine whether the proposed change requires submission of a 510(k) or a PMA in the first instance, but the FDA can review any such decision and disagree with a manufacturer’s determination. Many minor modifications today are accomplished by a manufacturer documenting the change in an internal letter-to-file. The letter-to-file is in lieu of submitting a new 510(k) to obtain clearance for every change. The FDA can always review these letters to file in an inspection. If the FDA disagrees with a manufacturer’s determination, the FDA can require the manufacturer to cease marketing and/or request the recall of the modified device until 510(k) marketing clearance or PMA approval is obtained. Also, in these circumstances, we may be subject to significant regulatory fines or penalties.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Regulation</w:t>
      </w:r>
    </w:p>
    <w:p>
      <w:pPr>
        <w:spacing w:after="0" w:line="230"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197"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225" w:lineRule="exact"/>
        <w:rPr>
          <w:rFonts w:ascii="Arial" w:cs="Arial" w:eastAsia="Arial" w:hAnsi="Arial"/>
          <w:sz w:val="18"/>
          <w:szCs w:val="18"/>
          <w:color w:val="auto"/>
        </w:rPr>
      </w:pPr>
    </w:p>
    <w:p>
      <w:pPr>
        <w:ind w:left="720" w:right="479"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 and distribution process;</w:t>
      </w:r>
    </w:p>
    <w:p>
      <w:pPr>
        <w:spacing w:after="0" w:line="202" w:lineRule="exact"/>
        <w:rPr>
          <w:rFonts w:ascii="Arial" w:cs="Arial" w:eastAsia="Arial" w:hAnsi="Arial"/>
          <w:sz w:val="18"/>
          <w:szCs w:val="18"/>
          <w:color w:val="auto"/>
        </w:rPr>
      </w:pPr>
    </w:p>
    <w:p>
      <w:pPr>
        <w:ind w:left="720" w:right="79" w:hanging="319"/>
        <w:spacing w:after="0" w:line="23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202" w:lineRule="exact"/>
        <w:rPr>
          <w:rFonts w:ascii="Arial" w:cs="Arial" w:eastAsia="Arial" w:hAnsi="Arial"/>
          <w:sz w:val="18"/>
          <w:szCs w:val="18"/>
          <w:color w:val="auto"/>
        </w:rPr>
      </w:pPr>
    </w:p>
    <w:p>
      <w:pPr>
        <w:ind w:left="720" w:right="79" w:hanging="319"/>
        <w:spacing w:after="0" w:line="274"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clearance or approval of product modifications to 510(k)-cleared devices that could significantly affect safety or efficacy or that would constitute a major change in intended use of one of our cleared devices;</w:t>
      </w:r>
    </w:p>
    <w:p>
      <w:pPr>
        <w:spacing w:after="0" w:line="174" w:lineRule="exact"/>
        <w:rPr>
          <w:rFonts w:ascii="Arial" w:cs="Arial" w:eastAsia="Arial" w:hAnsi="Arial"/>
          <w:sz w:val="17"/>
          <w:szCs w:val="17"/>
          <w:color w:val="auto"/>
        </w:rPr>
      </w:pPr>
    </w:p>
    <w:p>
      <w:pPr>
        <w:ind w:left="720" w:right="199" w:hanging="319"/>
        <w:spacing w:after="0" w:line="24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399"/>
        <w:spacing w:after="0" w:line="246" w:lineRule="auto"/>
        <w:rPr>
          <w:sz w:val="20"/>
          <w:szCs w:val="20"/>
          <w:color w:val="auto"/>
        </w:rPr>
      </w:pPr>
      <w:r>
        <w:rPr>
          <w:rFonts w:ascii="Arial" w:cs="Arial" w:eastAsia="Arial" w:hAnsi="Arial"/>
          <w:sz w:val="18"/>
          <w:szCs w:val="18"/>
          <w:color w:val="auto"/>
        </w:rPr>
        <w:t>device or a similar device that it markets would be likely to cause or contribute to a death or serious injury or serious adverse events, if the malfunction were to recur;</w:t>
      </w:r>
    </w:p>
    <w:p>
      <w:pPr>
        <w:spacing w:after="0" w:line="197" w:lineRule="exact"/>
        <w:rPr>
          <w:sz w:val="20"/>
          <w:szCs w:val="20"/>
          <w:color w:val="auto"/>
        </w:rPr>
      </w:pPr>
    </w:p>
    <w:p>
      <w:pPr>
        <w:ind w:left="720" w:right="9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202" w:lineRule="exact"/>
        <w:rPr>
          <w:rFonts w:ascii="Arial" w:cs="Arial" w:eastAsia="Arial" w:hAnsi="Arial"/>
          <w:sz w:val="18"/>
          <w:szCs w:val="18"/>
          <w:color w:val="auto"/>
        </w:rPr>
      </w:pPr>
    </w:p>
    <w:p>
      <w:pPr>
        <w:ind w:left="720" w:right="21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complying with regulations requiring Unique Device Identifiers (UDI) on devices and also requiring the submission of certain information about each device to the FDA’s Global Unique Device Identification Database (GUDID);</w:t>
      </w:r>
    </w:p>
    <w:p>
      <w:pPr>
        <w:spacing w:after="0" w:line="202" w:lineRule="exact"/>
        <w:rPr>
          <w:rFonts w:ascii="Arial" w:cs="Arial" w:eastAsia="Arial" w:hAnsi="Arial"/>
          <w:sz w:val="18"/>
          <w:szCs w:val="18"/>
          <w:color w:val="auto"/>
        </w:rPr>
      </w:pPr>
    </w:p>
    <w:p>
      <w:pPr>
        <w:ind w:left="720" w:right="639" w:hanging="319"/>
        <w:spacing w:after="0" w:line="24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96" w:lineRule="exact"/>
        <w:rPr>
          <w:rFonts w:ascii="Arial" w:cs="Arial" w:eastAsia="Arial" w:hAnsi="Arial"/>
          <w:sz w:val="18"/>
          <w:szCs w:val="18"/>
          <w:color w:val="auto"/>
        </w:rPr>
      </w:pPr>
    </w:p>
    <w:p>
      <w:pPr>
        <w:ind w:left="720" w:right="319" w:hanging="319"/>
        <w:spacing w:after="0" w:line="24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efficacy data for the device.</w:t>
      </w:r>
    </w:p>
    <w:p>
      <w:pPr>
        <w:spacing w:after="0" w:line="19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may be subject to similar foreign laws that may include applicable post-marketing requirements such as safety surveillance and risk-benefit analysis.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203"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203"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720" w:right="479" w:hanging="319"/>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refusal to grant export or import approvals for our products;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and Foreign Healthcare Laws and Compliance Requirements</w:t>
      </w:r>
    </w:p>
    <w:p>
      <w:pPr>
        <w:spacing w:after="0" w:line="23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Healthcare providers, physicians and third-party payors play a primary role in the recommendation, prescription and payment for medical treatments. A medical device manufacturer’s arrangements with third-party payors, providers and patients may expose it to broadly applicable fraud and abuse and other healthcare laws and regulations that may affect its business or the financial arrangements and relationships through which it markets, sells and distributes its products. Even if a medical device manufacturer does not control referrals of healthcare services or bill directly to Medicare, Medicaid, other federal healthcare programs, or other third-party payors, federal and state healthcare laws and regulations are applicable to its business. In addition, a portion of our business is subject to the Health Insurance Portability and Accountability Act of 1996, or HIPAA, as a business associate of our covered entity customers. To provide our covered entity customers with services that involve the use or disclosure of PHI, we are required to enter into business associate agreements. As a business associate, we are also directly liable for compliance with HIPAA. The laws that may affect a medical device manufacturer’s ability to operate include, but are not limited to:</w:t>
      </w:r>
    </w:p>
    <w:p>
      <w:pPr>
        <w:spacing w:after="0" w:line="204" w:lineRule="exact"/>
        <w:rPr>
          <w:sz w:val="20"/>
          <w:szCs w:val="20"/>
          <w:color w:val="auto"/>
        </w:rPr>
      </w:pPr>
    </w:p>
    <w:p>
      <w:pPr>
        <w:ind w:left="720" w:right="99" w:hanging="319"/>
        <w:spacing w:after="0" w:line="23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a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212" w:lineRule="exact"/>
        <w:rPr>
          <w:rFonts w:ascii="Arial" w:cs="Arial" w:eastAsia="Arial" w:hAnsi="Arial"/>
          <w:sz w:val="18"/>
          <w:szCs w:val="18"/>
          <w:color w:val="auto"/>
        </w:rPr>
      </w:pPr>
    </w:p>
    <w:p>
      <w:pPr>
        <w:ind w:left="720" w:right="79" w:hanging="319"/>
        <w:spacing w:after="0" w:line="23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such as the False Claims Act, or FCA, which can be enforced by private citizens through civil qui tam actions, prohibits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The Social Security Act also has a provision that provides for the imposition of civil monetary penalties against any person who offers or transfers remuneration to a Medicare or Medicaid beneficiary that such person knows or should know is likely to influence the beneficiary’s selection of a particular provider, practitioner, or supplier for the order or receipt of any item or service payable by a federal health care program. Private individuals, commonly known as “whistleblowers,” can bring FCA qui tam actions on behalf of the government and themselves, and may share in amounts paid by the entity to the government in recovery or settlement. False Claims Act liability is potentially significant in the healthcare industry because the statute provides for treble damages and mandatory penalties of $11,803 to $23,607 (as of December 2021) per false or fraudulent claim or statement. Many pharmaceutical and medical device manufacturers have been investigated and have reached substantial settlements under the FCA in connection with alleged off label promotion of their products and allegedly providing free products to customers with the expectation that the customers would bill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99"/>
        <w:spacing w:after="0" w:line="236" w:lineRule="auto"/>
        <w:rPr>
          <w:sz w:val="20"/>
          <w:szCs w:val="20"/>
          <w:color w:val="auto"/>
        </w:rPr>
      </w:pPr>
      <w:r>
        <w:rPr>
          <w:rFonts w:ascii="Arial" w:cs="Arial" w:eastAsia="Arial" w:hAnsi="Arial"/>
          <w:sz w:val="18"/>
          <w:szCs w:val="18"/>
          <w:color w:val="auto"/>
        </w:rPr>
        <w:t>federal health care programs for the product. In addition, a claim including items or services resulting from a violation of the federal Anti-Kickback Statute constitutes a false or fraudulent claim for purposes of the FCA.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p>
      <w:pPr>
        <w:spacing w:after="0" w:line="208" w:lineRule="exact"/>
        <w:rPr>
          <w:sz w:val="20"/>
          <w:szCs w:val="20"/>
          <w:color w:val="auto"/>
        </w:rPr>
      </w:pPr>
    </w:p>
    <w:p>
      <w:pPr>
        <w:ind w:left="720" w:right="79" w:hanging="319"/>
        <w:spacing w:after="0" w:line="23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or to have committed a violation;</w:t>
      </w:r>
    </w:p>
    <w:p>
      <w:pPr>
        <w:spacing w:after="0" w:line="205" w:lineRule="exact"/>
        <w:rPr>
          <w:rFonts w:ascii="Arial" w:cs="Arial" w:eastAsia="Arial" w:hAnsi="Arial"/>
          <w:sz w:val="18"/>
          <w:szCs w:val="18"/>
          <w:color w:val="auto"/>
        </w:rPr>
      </w:pPr>
    </w:p>
    <w:p>
      <w:pPr>
        <w:ind w:left="720" w:right="79" w:hanging="319"/>
        <w:spacing w:after="0" w:line="23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HIPAA, as amended by HITECH, and their implementing regulations, which imposes privacy, security, transmission and breach reporting obligations with respect to individually identifiable health information upon “covered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laws and seek attorneys’ fees and costs associated with pursuing federal civil actions. On December 10, 2020, the U.S. Department of Health and Human Services Office for Civil Rights issued a Notice of Proposed Rulemaking, which if finalized, would make changes to some of HIPAA’s regulatory requirements, which would apply to business associates;</w:t>
      </w:r>
    </w:p>
    <w:p>
      <w:pPr>
        <w:spacing w:after="0" w:line="204" w:lineRule="exact"/>
        <w:rPr>
          <w:rFonts w:ascii="Arial" w:cs="Arial" w:eastAsia="Arial" w:hAnsi="Arial"/>
          <w:sz w:val="18"/>
          <w:szCs w:val="18"/>
          <w:color w:val="auto"/>
        </w:rPr>
      </w:pPr>
    </w:p>
    <w:p>
      <w:pPr>
        <w:ind w:left="720" w:right="79" w:hanging="319"/>
        <w:spacing w:after="0" w:line="23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physician payment transparency requirements, sometimes referred to as the “Physician Payments Sunshine Act,” created under the PPACA, which requires, among other things, certain manufacturers of drugs, devices, biologics and medical supplies reimbursed under Medicare, Medicaid, or the Children’s Health Insurance Program (with certain exceptions) to report annually to the United States Department of Health and Human Services, Centers for Medicare and Medicare Services, or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 and</w:t>
      </w:r>
    </w:p>
    <w:p>
      <w:pPr>
        <w:spacing w:after="0" w:line="204" w:lineRule="exact"/>
        <w:rPr>
          <w:rFonts w:ascii="Arial" w:cs="Arial" w:eastAsia="Arial" w:hAnsi="Arial"/>
          <w:sz w:val="18"/>
          <w:szCs w:val="18"/>
          <w:color w:val="auto"/>
        </w:rPr>
      </w:pPr>
    </w:p>
    <w:p>
      <w:pPr>
        <w:ind w:left="720" w:right="79" w:hanging="319"/>
        <w:spacing w:after="0" w:line="23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119"/>
        <w:spacing w:after="0" w:line="237" w:lineRule="auto"/>
        <w:rPr>
          <w:sz w:val="20"/>
          <w:szCs w:val="20"/>
          <w:color w:val="auto"/>
        </w:rPr>
      </w:pPr>
      <w:r>
        <w:rPr>
          <w:rFonts w:ascii="Arial" w:cs="Arial" w:eastAsia="Arial" w:hAnsi="Arial"/>
          <w:sz w:val="18"/>
          <w:szCs w:val="18"/>
          <w:color w:val="auto"/>
        </w:rPr>
        <w:t>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20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Because of the breadth of these laws and the narrowness of their statutory exceptions and regulatory safe harbors, it is possible that some of a medical device manufacturer’s business activities could be subject to challenge under one or more of these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03"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Ensuring that business arrangements with third parties comply with applicable healthcare laws and regulations is costly and time consuming. If a medical device manufacturer’s operations are found to be in violation of any of the laws described above or any other governmental regulations that apply to it, it may be subject to penalties, including civil, criminal and administrative penalties, damages, fines, disgorgement, substantial monetary penalties, individual imprisonment, exclusion from governmental funded healthcare programs, such as Medicare and Medicaid, additional reporting obligations and oversight if it becomes subject to a corporate integrity agreement or other agreement to resolve allegations of non-compliance with these laws, reputational harm, diminished profits and future earnings, and the curtailment or restructuring of operations, any of which could adversely affect the ability of a medical device manufacturer to operate its business and the results of its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 Healthcare Reform</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the United States, a number of legislative and regulatory proposals have been considered or enacted to change the healthcare system in ways that could affect a medical device manufacturer’s business. Among policy makers and governmental and private insurers in the United States, there is significant interest in promoting changes in healthcare systems with the stated goals of containing healthcare costs, improving quality or expanding access. For example, in 2010, the PPACA was enacted, which includes measures to significantly change the way health care is financed by both governmental and private insurers, and significantly impacts the medical device industry. Among other ways in which it may impact a medical device manufacturer’s business, the PPACA:</w:t>
      </w:r>
    </w:p>
    <w:p>
      <w:pPr>
        <w:spacing w:after="0" w:line="208" w:lineRule="exact"/>
        <w:rPr>
          <w:sz w:val="20"/>
          <w:szCs w:val="20"/>
          <w:color w:val="auto"/>
        </w:rPr>
      </w:pPr>
    </w:p>
    <w:p>
      <w:pPr>
        <w:ind w:left="720" w:right="299" w:hanging="319"/>
        <w:spacing w:after="0" w:line="24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efficacy research in an effort to coordinate and develop such research;</w:t>
      </w:r>
    </w:p>
    <w:p>
      <w:pPr>
        <w:spacing w:after="0" w:line="196" w:lineRule="exact"/>
        <w:rPr>
          <w:rFonts w:ascii="Arial" w:cs="Arial" w:eastAsia="Arial" w:hAnsi="Arial"/>
          <w:sz w:val="18"/>
          <w:szCs w:val="18"/>
          <w:color w:val="auto"/>
        </w:rPr>
      </w:pPr>
    </w:p>
    <w:p>
      <w:pPr>
        <w:ind w:left="720" w:right="159"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w:t>
      </w:r>
      <w:r>
        <w:rPr>
          <w:rFonts w:ascii="Arial" w:cs="Arial" w:eastAsia="Arial" w:hAnsi="Arial"/>
          <w:sz w:val="15"/>
          <w:szCs w:val="15"/>
          <w:color w:val="auto"/>
        </w:rPr>
        <w:t>s.</w:t>
      </w:r>
    </w:p>
    <w:p>
      <w:pPr>
        <w:spacing w:after="0" w:line="22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Some of the provisions of the PPACA have yet to be implemented, and there were judicial and Congressional challenges to certain aspects of the PPACA, as well as efforts by the Trump administration to repeal or replace certain aspects of the PPACA. Most recently, under President Biden, the Department of Justice dropped support of two Supreme Court cases challenging PPACA in addition to a case before the U.S. Court of Appeals for the Fifth Circuit. On January 28, 2021, President Biden signed an executive order to expand access to PPACA coverage, stating that it is the “policy” of the Biden administration to protect and strengthen the PPACA and directing agencies to consider suspending, revising, or rescinding actions related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President Trump’s executive orders that are inconsistent with this policy position. In the past, Congress has considered legislation that would repeal or repeal and replace all or part of the PPACA; however, this is not the policy of the Biden administration. While Congress has not passed comprehensive repeal legislation, two bills affecting the implementation of certain taxes under the PPACA have been signed into law. The Tax Cuts and Jobs Act of 2017, or the TCJA, includes a provision repealing, effective January 1, 2019, the tax-based shared responsibility payment imposed by the PPACA on certain individuals who fail to maintain qualifying health coverage for all or part of a year that is commonly referred to as the “individual mandate”. The 2018 Appropriations Resolution delayed the implementation of certain PPACA-mandated fees, including, without limitation, the medical device excise tax. The Bipartisan Budget Act of 2018, or the BBA, among other things, amends the PPACA, effective January 1, 2019, to close the coverage gap in most Medicare drug plans, commonly referred to as the “donut hole”.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U.S. District Court Judge in the Northern District of Texas, or Texas District Court Judge, ruled that the individual mandate is a critical and inseverable feature of the PPACA, and therefore, because it was repealed as part of the TCJA, the remaining provisions of the PPACA are invalid as well. On appeal, the Fifth Circuit Court of Appeals affirmed the holding on the individual mandate but remanded the case back to the lower court to reassess whether and how such holding affects the validity if the rest of the PPACA; however, as stated above, the Department of Justice under President Biden has dropped its support of this appeal. There is no way to know whether, and to what extent, if any, the PPACA will remain in-effect in the future, and it is unclear how judicial decisions, subsequent appeals, or other efforts to repeal and replace or, possibly, to restore the PPACA will impact the U.S. healthcare industry or our business.</w:t>
      </w:r>
    </w:p>
    <w:p>
      <w:pPr>
        <w:spacing w:after="0" w:line="212"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U.S. Congressional inquiries and proposed federal legislation designed to, among other things, bring more transparency to product pricing, reduce the cost of certain products under Medicare, review the relationship between pricing and manufacturer patient programs, and reform government program reimbursement methodologies. At the state level, individual states in the United States are also increasingly passing legislation and implementing regulations designed to control product pricing, including price or patient reimbursement constraints, discounts, restrictions on certain product access and marketing cost disclosure and transparency measures.</w:t>
      </w:r>
    </w:p>
    <w:p>
      <w:pPr>
        <w:spacing w:after="0" w:line="20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It is likely that additional state and federal healthcare reform measures will be adopted in the future, any of which could limit the amounts that federal and state governments will pay for healthcare products and services, which could result in reduced demand for a medical device manufacturer’s products or additional pricing pressure.</w:t>
      </w:r>
    </w:p>
    <w:p>
      <w:pPr>
        <w:spacing w:after="0" w:line="20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cannot predict the impact that such actions against the PPACA or other health care reform under the Biden administration will have on our business, and there is uncertainty as to what healthcare programs and regulations may be implemented or changed at the federal and/or state level in the United States, or the effect of any future legislation or regulation. However, it is possible that such initiatives could have an adverse effect on our ability to obtain approval and/or successfully commercialize products in the United States in the future. For example, U.S. federal government and state legislatures have continued to implement cost containment programs, including price controls and restrictions on coverage and reimbursement. To contain costs, governmental healthcare programs and third-party payers are increasingly challenging the price, scrutinizing the medical necessity, and reviewing the cost-effectiveness of medical treatments. Any changes that reduce, or impede the ability to obtain, reimbursement for the type of products we intend to commercialize in the United States (or our products more specifically, if approved) or reduce medical procedure volumes could adversely affect our business plan to introduce our products in the United States.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Japanese Regulation</w:t>
      </w:r>
    </w:p>
    <w:p>
      <w:pPr>
        <w:spacing w:after="0" w:line="23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Japan, medical devices must be approved prior to importation and commercial sale by the JMHLW. The approval process identifies a Marketing Authorization Holder, or MAH, who is designated as the only authorized seller of products. Manufacturers of medical devices outside of Japan who do not operate through a Japanese entity are able to designate a MAH who will apply for product approval and take responsibility for the medical device as designated. The JMHLW evaluates each device for safety and efficacy. As part of its approval process, the JMHLW may require that the product be tested in Japanese laboratories. The approval process ranges in length and certain medical devices may require a longer review period for approval. Once a device is approved, the JMHLW issues a Shonin to the MAH or designated MAH, thereby permitting such entity to import the device into Japan for sale.</w:t>
      </w:r>
    </w:p>
    <w:p>
      <w:pPr>
        <w:spacing w:after="0" w:line="207"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After a device is approved for importation and commercial sale in Japan, the MHLW continues to monitor sales of approved products for compliance with labeling regulations, which prohibit promotion of devices for unapproved uses, and reporting regulations, which require reporting of product malfunctions, including serious injury or death caused by any approved device. Failure to comply with applicable regulatory requirements can result in enforcement action by the MHLW, which may include fines, injunctions, and civil penalties; recall or seizure of our products; operating restrictions; partial suspension or total shutdown of sales in Japan; or criminal prosecution.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European Union Regulation</w:t>
      </w:r>
    </w:p>
    <w:p>
      <w:pPr>
        <w:spacing w:after="0" w:line="23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also have received European Conformity (CE) marking in the European Economic Area (EEA). In the E.U., a single regulatory approval process exists, and conformity with the legal requirements is represented by the CE mark. To obtain a CE mark, defined products must meet minimum standards of performance, safety, and quality (i.e., the essential requirements), and then, according to their classification, comply with one or more of a selection of conformity assessment routes. The competent authorities of the E.U. countries separately regulate the clinical research for medical devices and the market surveillance of products once they are placed on the market. A new Medical Device Regulation was published by the E.U. in 2017 which imposes significant additional premarket and postmarket requirements (EU MDR). The regulation provided an implementation period and became effective on May 26, 2021. Medical devices marketed in the E.U. will require certification according to these new requirements, except that devices with valid CE certificates, issued pursuant to the Medical Device Directives before May 2020, can be placed on the market until May 2024.</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International Regulation</w:t>
      </w:r>
    </w:p>
    <w:p>
      <w:pPr>
        <w:spacing w:after="0" w:line="21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Sales and marketing of medical devices outside of the United States are subject to foreign regulatory requirements that vary widely from country to country. The global regulatory environment is increasingly stringent and unpredictable. Several countries that did not have regulatory requirements for medical devices have established such requirements in recent years, and other countries have expanded, or plan to expand, their existing regulations. While harmonization of global regulations has been pursued, requirements continue to differ significantly among countries. We expect this global regulatory environment will continue to evolve, which could impact the cost, the time needed to approve, and ultimately, our ability to maintain existing approvals or obtain future approvals for our products. The time required to obtain appropriate marketing authorizations from other foreign authorities may be longer or shorter than required for FDA approval. Whether or not we have obtained FDA approval, our NeuroStar Advanced Therapy System may be subject to different regulatory requirements in other jurisdictions. The foreign regulatory approval process includes all the risks associated with FDA regulation, as well as country-specific regulations.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Regulations</w:t>
      </w:r>
    </w:p>
    <w:p>
      <w:pPr>
        <w:spacing w:after="0" w:line="212" w:lineRule="exact"/>
        <w:rPr>
          <w:sz w:val="20"/>
          <w:szCs w:val="20"/>
          <w:color w:val="auto"/>
        </w:rPr>
      </w:pPr>
    </w:p>
    <w:p>
      <w:pPr>
        <w:ind w:left="60" w:right="579"/>
        <w:spacing w:after="0" w:line="296" w:lineRule="auto"/>
        <w:rPr>
          <w:sz w:val="20"/>
          <w:szCs w:val="20"/>
          <w:color w:val="auto"/>
        </w:rPr>
      </w:pPr>
      <w:r>
        <w:rPr>
          <w:rFonts w:ascii="Arial" w:cs="Arial" w:eastAsia="Arial" w:hAnsi="Arial"/>
          <w:sz w:val="17"/>
          <w:szCs w:val="17"/>
          <w:i w:val="1"/>
          <w:iCs w:val="1"/>
          <w:color w:val="auto"/>
        </w:rPr>
        <w:t xml:space="preserve">Import-export. </w:t>
      </w:r>
      <w:r>
        <w:rPr>
          <w:rFonts w:ascii="Arial" w:cs="Arial" w:eastAsia="Arial" w:hAnsi="Arial"/>
          <w:sz w:val="17"/>
          <w:szCs w:val="17"/>
          <w:color w:val="auto"/>
        </w:rPr>
        <w:t>Our international operations subject us to laws regarding sanctioned countries, entities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customs, and import-export. Among other things, these laws restrict, and in some cases can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199"/>
        <w:spacing w:after="0"/>
        <w:rPr>
          <w:sz w:val="20"/>
          <w:szCs w:val="20"/>
          <w:color w:val="auto"/>
        </w:rPr>
      </w:pPr>
      <w:r>
        <w:rPr>
          <w:rFonts w:ascii="Arial" w:cs="Arial" w:eastAsia="Arial" w:hAnsi="Arial"/>
          <w:sz w:val="18"/>
          <w:szCs w:val="18"/>
          <w:color w:val="auto"/>
        </w:rPr>
        <w:t>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18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i w:val="1"/>
          <w:iCs w:val="1"/>
          <w:color w:val="auto"/>
        </w:rPr>
        <w:t xml:space="preserve">Data Privacy and Cybersecurity Laws and Regulations. </w:t>
      </w:r>
      <w:r>
        <w:rPr>
          <w:rFonts w:ascii="Arial" w:cs="Arial" w:eastAsia="Arial" w:hAnsi="Arial"/>
          <w:sz w:val="18"/>
          <w:szCs w:val="18"/>
          <w:color w:val="auto"/>
        </w:rPr>
        <w:t>As a business with a significant global footprint,</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evolving regulations and standards 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207"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As of December 31, 2021, we had 175 full time employees working collaboratively across our sales and customer support team, in research and development, including clinical, regulatory and certain quality functions, operations and in general and administrative. All of our employees are employed full time. We have never had a work stoppage and none of our employees are covered by collective bargaining agreements or represented by a labor union. We believe that our employee relations are strong.</w:t>
      </w:r>
    </w:p>
    <w:p>
      <w:pPr>
        <w:spacing w:after="0" w:line="202"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recruit employees with the skills and training relevant to functional responsibilities. We believe that cultural fit and energy are important considerations. We assess the likelihood that a particular candidate will contribute to the Company’s overall goals, and beyond their specifically assigned tasks. We aim to provide market-based compensation and work to retain our employees for many years. During 2021, the Company continued to offer a two-day work from home policy to provide personal flexibility and support employees in managing family priorities given the continuation of the COVID-19 pandemic.</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w:t>
      </w:r>
    </w:p>
    <w:p>
      <w:pPr>
        <w:spacing w:after="0" w:line="23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Developing employees contributes to growing our business. The Company has leadership development programs which bring a consistent approach to leadership development that all managers and directors are required to attend. The Company also provides learning opportunities for all employees to continue to progress their development and career at the Company.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34" w:lineRule="exact"/>
        <w:rPr>
          <w:sz w:val="20"/>
          <w:szCs w:val="20"/>
          <w:color w:val="auto"/>
        </w:rPr>
      </w:pPr>
    </w:p>
    <w:p>
      <w:pPr>
        <w:ind w:left="60" w:right="519"/>
        <w:spacing w:after="0"/>
        <w:rPr>
          <w:sz w:val="20"/>
          <w:szCs w:val="20"/>
          <w:color w:val="auto"/>
        </w:rPr>
      </w:pPr>
      <w:r>
        <w:rPr>
          <w:rFonts w:ascii="Arial" w:cs="Arial" w:eastAsia="Arial" w:hAnsi="Arial"/>
          <w:sz w:val="18"/>
          <w:szCs w:val="18"/>
          <w:color w:val="auto"/>
        </w:rPr>
        <w:t>A diverse and inclusive culture that provides fair and equitable opportunities helps the Company remain competitive, advance its innovation culture, and serve customers. The Company focuses on attracting and advancing top talent as well as advancing diversity, equity, and inclusion initiatives.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addition to a professional work environment that promotes innovation and rewards performance, our total compensation for employees includes a variety of components that support sustainable employment and the ability to build a strong financial future, including competitive market-based pay, share-based compensation awards, and comprehensive benefits. In addition to earning a base salary, eligible employees are compensated for their contributions to the Company’s goals with cash incentives and long-term equity-based incentives. The Company is committed to providing fair and equitable pay for employees. Eligible full -time employees also have access to medical, dental, and vision plans; savings and retirement plans; and other benefits.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60" w:right="119"/>
        <w:spacing w:after="0" w:line="205" w:lineRule="exact"/>
        <w:rPr>
          <w:sz w:val="20"/>
          <w:szCs w:val="20"/>
          <w:color w:val="auto"/>
        </w:rPr>
      </w:pPr>
      <w:r>
        <w:rPr>
          <w:rFonts w:ascii="Arial" w:cs="Arial" w:eastAsia="Arial" w:hAnsi="Arial"/>
          <w:sz w:val="18"/>
          <w:szCs w:val="18"/>
          <w:color w:val="auto"/>
        </w:rPr>
        <w:t xml:space="preserve">We were incorporated in Delaware in April of 2003. Our principal executive offices are located at 3222 Phoenixville Pike, Malvern, Pennsylvania 19355, and our telephone number is (610) 640-4202. Our website address is </w:t>
      </w:r>
      <w:r>
        <w:rPr>
          <w:rFonts w:ascii="Arial" w:cs="Arial" w:eastAsia="Arial" w:hAnsi="Arial"/>
          <w:sz w:val="18"/>
          <w:szCs w:val="18"/>
          <w:u w:val="single" w:color="auto"/>
          <w:color w:val="auto"/>
        </w:rPr>
        <w:t>www.neurostar.com</w:t>
      </w:r>
      <w:r>
        <w:rPr>
          <w:rFonts w:ascii="Arial" w:cs="Arial" w:eastAsia="Arial" w:hAnsi="Arial"/>
          <w:sz w:val="18"/>
          <w:szCs w:val="18"/>
          <w:color w:val="auto"/>
        </w:rPr>
        <w:t>. We make available, free of charge on our website,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 xml:space="preserve">K and all amendments to those reports filed or furnished pursuant to Section 13(a) or 15(d) of the Securities Exchange Act of 1934, as amended, or the Exchange Act, as soon as reasonably practicable after we electronically file those reports with, or furnish them to, the SEC. The SEC maintains an Internet site that contains reports, proxy and information statements, and other information regarding issuers that file electronically with the SEC, which can be found at </w:t>
      </w:r>
      <w:r>
        <w:rPr>
          <w:rFonts w:ascii="Arial" w:cs="Arial" w:eastAsia="Arial" w:hAnsi="Arial"/>
          <w:sz w:val="18"/>
          <w:szCs w:val="18"/>
          <w:u w:val="single" w:color="auto"/>
          <w:color w:val="auto"/>
        </w:rPr>
        <w:t>www.sec.gov</w:t>
      </w:r>
      <w:r>
        <w:rPr>
          <w:rFonts w:ascii="Arial" w:cs="Arial" w:eastAsia="Arial" w:hAnsi="Arial"/>
          <w:sz w:val="18"/>
          <w:szCs w:val="18"/>
          <w:color w:val="auto"/>
        </w:rPr>
        <w:t>. The information contained on, or accessible through, our website is not incorporated by reference into this Annual Report on Form 10-K, and you should not consider any information contained in, or that can be accessed through, our website as part of this Annual Report on Form 10-K.</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Risk Factors</w:t>
      </w:r>
    </w:p>
    <w:p>
      <w:pPr>
        <w:spacing w:after="0" w:line="234" w:lineRule="exact"/>
        <w:rPr>
          <w:sz w:val="20"/>
          <w:szCs w:val="20"/>
          <w:color w:val="auto"/>
        </w:rPr>
      </w:pPr>
    </w:p>
    <w:p>
      <w:pPr>
        <w:ind w:left="60" w:right="679"/>
        <w:spacing w:after="0" w:line="246" w:lineRule="auto"/>
        <w:rPr>
          <w:sz w:val="20"/>
          <w:szCs w:val="20"/>
          <w:color w:val="auto"/>
        </w:rPr>
      </w:pPr>
      <w:r>
        <w:rPr>
          <w:rFonts w:ascii="Arial" w:cs="Arial" w:eastAsia="Arial" w:hAnsi="Arial"/>
          <w:sz w:val="18"/>
          <w:szCs w:val="18"/>
          <w:color w:val="auto"/>
        </w:rPr>
        <w:t>An investment in shares of our common stock involves significant risks. See “Risk Factors” beginning on page 20. These risks include, among others:</w:t>
      </w:r>
    </w:p>
    <w:p>
      <w:pPr>
        <w:spacing w:after="0" w:line="197" w:lineRule="exact"/>
        <w:rPr>
          <w:sz w:val="20"/>
          <w:szCs w:val="20"/>
          <w:color w:val="auto"/>
        </w:rPr>
      </w:pPr>
    </w:p>
    <w:p>
      <w:pPr>
        <w:ind w:left="720" w:right="559" w:hanging="319"/>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depends upon patient satisfaction with the effectiveness of our NeuroStar Advanced Therapy System.</w:t>
      </w:r>
    </w:p>
    <w:p>
      <w:pPr>
        <w:spacing w:after="0" w:line="196" w:lineRule="exact"/>
        <w:rPr>
          <w:rFonts w:ascii="Arial" w:cs="Arial" w:eastAsia="Arial" w:hAnsi="Arial"/>
          <w:sz w:val="18"/>
          <w:szCs w:val="18"/>
          <w:color w:val="auto"/>
        </w:rPr>
      </w:pPr>
    </w:p>
    <w:p>
      <w:pPr>
        <w:ind w:left="720" w:right="279"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COVID-19 pandemic has had, and we expect will continue to have, an adverse effect on our business, results of operations, financial condition and cash flows, the nature and extent of which are highly uncertain and unpredictable.</w:t>
      </w:r>
    </w:p>
    <w:p>
      <w:pPr>
        <w:spacing w:after="0" w:line="202" w:lineRule="exact"/>
        <w:rPr>
          <w:rFonts w:ascii="Arial" w:cs="Arial" w:eastAsia="Arial" w:hAnsi="Arial"/>
          <w:sz w:val="18"/>
          <w:szCs w:val="18"/>
          <w:color w:val="auto"/>
        </w:rPr>
      </w:pPr>
    </w:p>
    <w:p>
      <w:pPr>
        <w:ind w:left="720" w:right="379" w:hanging="319"/>
        <w:spacing w:after="0" w:line="274"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operate in a very competitive environment and if we are unable to compete successfully against our existing or potential competitors, our sales and operating results may be negatively affected.</w:t>
      </w:r>
    </w:p>
    <w:p>
      <w:pPr>
        <w:spacing w:after="0" w:line="174" w:lineRule="exact"/>
        <w:rPr>
          <w:rFonts w:ascii="Arial" w:cs="Arial" w:eastAsia="Arial" w:hAnsi="Arial"/>
          <w:sz w:val="17"/>
          <w:szCs w:val="17"/>
          <w:color w:val="auto"/>
        </w:rPr>
      </w:pPr>
    </w:p>
    <w:p>
      <w:pPr>
        <w:ind w:left="720" w:right="299" w:hanging="319"/>
        <w:spacing w:after="0" w:line="23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single-source suppliers for some components used in our NeuroStar Advanced Therapy System and on a single manufacturer for the assembly of our NeuroStar Advanced Therapy System, and we may be unable to find replacements or immediately transition to alternative parties for these components.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119"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and, in the future, expect to rely on a network of third-party distributors to market and distribute our products internationally, and if we are unable to maintain and expand this network, we may be unable to generate anticipated sales.</w:t>
      </w:r>
    </w:p>
    <w:p>
      <w:pPr>
        <w:spacing w:after="0" w:line="202" w:lineRule="exact"/>
        <w:rPr>
          <w:rFonts w:ascii="Arial" w:cs="Arial" w:eastAsia="Arial" w:hAnsi="Arial"/>
          <w:sz w:val="18"/>
          <w:szCs w:val="18"/>
          <w:color w:val="auto"/>
        </w:rPr>
      </w:pPr>
    </w:p>
    <w:p>
      <w:pPr>
        <w:ind w:left="720" w:right="459"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not able to obtain and enforce patent protection for our technologies, products, or product candidates, development and commercialization of our products and product candidates may be adversely affected.</w:t>
      </w:r>
    </w:p>
    <w:p>
      <w:pPr>
        <w:spacing w:after="0" w:line="202" w:lineRule="exact"/>
        <w:rPr>
          <w:rFonts w:ascii="Arial" w:cs="Arial" w:eastAsia="Arial" w:hAnsi="Arial"/>
          <w:sz w:val="18"/>
          <w:szCs w:val="18"/>
          <w:color w:val="auto"/>
        </w:rPr>
      </w:pPr>
    </w:p>
    <w:p>
      <w:pPr>
        <w:ind w:left="720" w:right="219"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202" w:lineRule="exact"/>
        <w:rPr>
          <w:rFonts w:ascii="Arial" w:cs="Arial" w:eastAsia="Arial" w:hAnsi="Arial"/>
          <w:sz w:val="18"/>
          <w:szCs w:val="18"/>
          <w:color w:val="auto"/>
        </w:rPr>
      </w:pPr>
    </w:p>
    <w:p>
      <w:pPr>
        <w:ind w:left="720" w:right="25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Modifications to our products may require new 510(k) clearances or PMA approvals, and may require us to cease marketing or recall the modified products until clearances are obtained.</w:t>
      </w:r>
    </w:p>
    <w:p>
      <w:pPr>
        <w:spacing w:after="0" w:line="196" w:lineRule="exact"/>
        <w:rPr>
          <w:rFonts w:ascii="Arial" w:cs="Arial" w:eastAsia="Arial" w:hAnsi="Arial"/>
          <w:sz w:val="18"/>
          <w:szCs w:val="18"/>
          <w:color w:val="auto"/>
        </w:rPr>
      </w:pPr>
    </w:p>
    <w:p>
      <w:pPr>
        <w:jc w:val="both"/>
        <w:ind w:left="720" w:right="11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 must be manufactured in accordance with federal and state regulations, and we could be forced to recall our installed systems or terminate production if we fail to comply with these regulations.</w:t>
      </w:r>
    </w:p>
    <w:p>
      <w:pPr>
        <w:spacing w:after="0" w:line="196" w:lineRule="exact"/>
        <w:rPr>
          <w:rFonts w:ascii="Arial" w:cs="Arial" w:eastAsia="Arial" w:hAnsi="Arial"/>
          <w:sz w:val="18"/>
          <w:szCs w:val="18"/>
          <w:color w:val="auto"/>
        </w:rPr>
      </w:pPr>
    </w:p>
    <w:p>
      <w:pPr>
        <w:ind w:left="720" w:right="279" w:hanging="319"/>
        <w:spacing w:after="0" w:line="255"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products may cause or contribute to adverse medical events that we are required to report to the United States Food and Drug Administration, or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90" w:lineRule="exact"/>
        <w:rPr>
          <w:rFonts w:ascii="Arial" w:cs="Arial" w:eastAsia="Arial" w:hAnsi="Arial"/>
          <w:sz w:val="17"/>
          <w:szCs w:val="17"/>
          <w:color w:val="auto"/>
        </w:rPr>
      </w:pPr>
    </w:p>
    <w:p>
      <w:pPr>
        <w:ind w:left="720" w:right="179" w:hanging="319"/>
        <w:spacing w:after="0" w:line="23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204" w:lineRule="exact"/>
        <w:rPr>
          <w:rFonts w:ascii="Arial" w:cs="Arial" w:eastAsia="Arial" w:hAnsi="Arial"/>
          <w:sz w:val="18"/>
          <w:szCs w:val="18"/>
          <w:color w:val="auto"/>
        </w:rPr>
      </w:pPr>
    </w:p>
    <w:p>
      <w:pPr>
        <w:ind w:left="720" w:right="99" w:hanging="319"/>
        <w:spacing w:after="0" w:line="23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results are directly dependent upon the sales and marketing efforts of our sales and customer support team as well as our field sales personnel in the United States and our independent third-party distributors outside of the United States. If our employees or our independent distributors fail to adequately promote, market and sell our products, our sales could significantly decrease.</w:t>
      </w:r>
    </w:p>
    <w:p>
      <w:pPr>
        <w:spacing w:after="0" w:line="204" w:lineRule="exact"/>
        <w:rPr>
          <w:rFonts w:ascii="Arial" w:cs="Arial" w:eastAsia="Arial" w:hAnsi="Arial"/>
          <w:sz w:val="18"/>
          <w:szCs w:val="18"/>
          <w:color w:val="auto"/>
        </w:rPr>
      </w:pPr>
    </w:p>
    <w:p>
      <w:pPr>
        <w:ind w:left="720" w:right="379"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any member of our senior management or our inability to attract and retain highly skilled executives, salespeople, product development and other personnel could negatively impact our business..</w:t>
      </w:r>
    </w:p>
    <w:p>
      <w:pPr>
        <w:spacing w:after="0" w:line="202" w:lineRule="exact"/>
        <w:rPr>
          <w:rFonts w:ascii="Arial" w:cs="Arial" w:eastAsia="Arial" w:hAnsi="Arial"/>
          <w:sz w:val="18"/>
          <w:szCs w:val="18"/>
          <w:color w:val="auto"/>
        </w:rPr>
      </w:pPr>
    </w:p>
    <w:p>
      <w:pPr>
        <w:ind w:left="720" w:right="79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an “emerging growth company” and the reduced disclosure requirements applicable to emerging growth companies could make our common stock less attractive to inves</w:t>
      </w:r>
      <w:r>
        <w:rPr>
          <w:rFonts w:ascii="Arial" w:cs="Arial" w:eastAsia="Arial" w:hAnsi="Arial"/>
          <w:sz w:val="15"/>
          <w:szCs w:val="15"/>
          <w:color w:val="auto"/>
        </w:rPr>
        <w:t>tors.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contained in this Annual Report on Form 10-K before deciding whether to invest in our common stock. The occurrence of any of the events or developments described below could harm our business, financial condition, results of operations and prospects. As a result, the market price of our common stock could decline, and you may lose all or part of your investment.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incurred losses in the past and may be unable to achieve or sustain profitability in the future.</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have incurred net losses since inception, including net losses of $31.2 million and $27.5 million for the years ended December 31, 2021 and 2020, respectively. As a result of ongoing losses, as of December 31, 2021, we had an accumulated deficit of $308.7 million. We expect to continue to incur significant sales and marketing, product development, regulatory and other expenses as we continue to expand our marketing efforts to increase adoption of our products and expand existing relationships with our customers, to obtain regulatory clearances or approvals for our products in additional countries and for additional indications, and to develop new products or add new features to our existing products. The net losses we incur may fluctuate significantly from quarter to quarter. We will need to generate significant additional revenues to achieve and sustain profitability, and even if we achieve profitability, we cannot be sure that we will remain profitable for any substantial period of time. Our failure to achieve or maintain profitability could negatively impact the value of our common stock.</w:t>
      </w:r>
    </w:p>
    <w:p>
      <w:pPr>
        <w:spacing w:after="0" w:line="183"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b w:val="1"/>
          <w:bCs w:val="1"/>
          <w:i w:val="1"/>
          <w:iCs w:val="1"/>
          <w:color w:val="auto"/>
        </w:rPr>
        <w:t>We rely on the sale of our NeuroStar Advanced Therapy System and treatment sessions to generate revenues.</w:t>
      </w:r>
    </w:p>
    <w:p>
      <w:pPr>
        <w:spacing w:after="0" w:line="17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rely on the sale of our NeuroStar Advanced Therapy System and treatment sessions to generate revenues, and we expect to generate substantially all of our revenues in the foreseeable future from sales of these and any related products and services. Because the market for TMS therapy is still developing and contains a limited number of market participants, sales of our products could be negatively impacted by unfavorable market reactions to our or other TMS devices. If the use of our or other TMS therapies results in serious adverse events, or such products malfunction or are misused, patients and psychiatrists may attribute such negative events to TMS therapy generally, which may adversely affect market adoption of our products. Additionally, if patients undergoing treatment with a NeuroStar Advanced Therapy System perceive the benefits to be inadequate or adverse events too numerous or severe compared to the relevant rates of alternative TMS therapies or pharmaceutical options, it will be difficult to demonstrate the value of our NeuroStar Advanced Therapy System to patients and psychiatrists. As a result, demand for and the use of our NeuroStar Advanced Therapy System may decline or may not increase at the pace or to the levels we expect.</w:t>
      </w:r>
    </w:p>
    <w:p>
      <w:pPr>
        <w:spacing w:after="0" w:line="182"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an adverse effect on our business, results of operations, financial condition and cash flows, the nature and extent of which are highly uncertain and unpredictable.</w:t>
      </w:r>
    </w:p>
    <w:p>
      <w:pPr>
        <w:spacing w:after="0" w:line="191"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Our operations and interactions with healthcare systems, providers and patients expose us to risks associated with public health crises, including epidemics and pandemics. In particular, the global impact of COVID-19, including corresponding preventative and precautionary measures that we and other businesses, communities and governments are taking to mitigate the spread of the disease, has led to unprecedented restrictions on, disruptions in, and other related impacts on business and personal activities. The emergence and spread of COVID-19 variants, including Delta and Omicron, have and may continue to prolong these disruptions. Further travel restrictions put in place by countries, states and localities may continue to close borders, impose quarantines or other restrictions and requirements on travel, and further limit our ability to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conduct business in-person as we did prior to COVID-19, requiring businesses, including our business, to use alternative methods of communication.</w:t>
      </w:r>
    </w:p>
    <w:p>
      <w:pPr>
        <w:spacing w:after="0" w:line="19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Together with the preventative and precautionary measures being taken, as well as the corresponding need to adapt to new and different methods of communication and conducting business, COVID-19 is having, and will likely continue to have, an adverse impact on significant aspects of our company and business, including demand for and supply of our products, operations, supply chains and distribution systems, our ability to research and develop and bring to market new products and services, and our ability to generate cash flow, and may have an adverse impact on our ability to access capital. Although we consider treatment by NeuroStar to be a medical necessity, our experience since the beginning of the pandemic demonstrates that quarantine and similar public health orders cause a material reduction in sales of NeuroStar and in NeuroStar utilization. It is not possible to predict the possibility, locations or timing of such orders but if such orders are re-imposed regionally or nationally in the United States or Japan or if unemployment or loss of insurance coverage continues or worsens from the present situation, our business, cash flows, financial condition and results of operations will continue to be negatively affected.</w:t>
      </w:r>
    </w:p>
    <w:p>
      <w:pPr>
        <w:spacing w:after="0" w:line="20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 significant number of our suppliers, vendors, distributors and manufacturing facilities have been adversely affected by the COVID-19 pandemic, including the ability of their employees to get to their places of work and maintain the continuity of their on-site operations. These impacts could impair our ability to move our products through distribution channels to end customers, and any such delay or shortage in the supply of components or materials may result in our inability to satisfy demand for our products in a timely manner or at all, which could harm our reputation, future sales and profitability.</w:t>
      </w:r>
    </w:p>
    <w:p>
      <w:pPr>
        <w:spacing w:after="0" w:line="20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addition, COVID-19 has impacted and may further impact the global economy and capital markets, including by negatively impacting demand for our products, access to capital markets, foreign currency exchange rates, and interest rates, each of which may adversely impact our business and liquidity. We could experience loss of sales and profits due to delayed payments or insolvency of healthcare professionals, hospitals and other customers, suppliers and vendors facing liquidity issues.</w:t>
      </w:r>
    </w:p>
    <w:p>
      <w:pPr>
        <w:spacing w:after="0" w:line="180"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If coverage is unavailable or reimbursement from third-party payors for treatments using our products significantly declines, psychiatrists may be reluctant to use our products.</w:t>
      </w:r>
    </w:p>
    <w:p>
      <w:pPr>
        <w:spacing w:after="0" w:line="176"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auto"/>
        </w:rPr>
        <w:t>In the United States, sales of our products will depend, in part, on the extent to which the treatment sessions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 is profitable for the provider. Further, patients who are treated in-office for a medical condition generally rely on third-party payors to reimburse all or part of the costs associated with the treatment and may be unwilling to undergo such treatment in the absence of coverage and adequate reimbursement, or due to large annual deductibles associated with certain health insurance plans.</w:t>
      </w:r>
    </w:p>
    <w:p>
      <w:pPr>
        <w:spacing w:after="0" w:line="20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treatment is neither experimental nor investigational, safe, effective, and medically necessary, appropriate for the specific patient, cost-effective, supported by peer-reviewed medical journals and included in clinical practice guidelines.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the United States, there is no uniform policy of coverage and reimbursement among third-party payors. Third-party payors often rely upon Medicare coverage policies and payment limitations in setting their own reimbursement policies, but also have their own methods and approval process apart from Medicare coverage and reimbursement determinations. Therefore, coverage and reimbursement for treatments can differ significantly from payor to payor. Decisions regarding the extent of coverage and amount of reimbursement to be provided for an in-office treatment is made on a plan-by-plan basis. One payor’s determination to provide coverage for a specific treatment does not assure that other payors will also provide coverage, and adequate reimbursement.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addition, the federal government and state legislatures have continued to implement cost containment programs, including price controls and restrictions on coverage and reimbursement. To contain costs, governmental healthcare programs and third-party payors are increasingly challenging the price, scrutinizing the medical necessity and reviewing the cost-effectiveness of medical treatments.</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Outside of the United States, reimbursement systems vary significantly by country. Many foreign markets, including Japan, have government-managed healthcare systems that govern reimbursement for psychiatric treatments and procedures. Additionally, some foreign reimbursement systems provide for limited payments in a given period and therefore result in extended payment periods. If adequate levels of reimbursement from third-party payors outside of the United States are not obtained, international sales of our products may not materialize or grow significantly.</w:t>
      </w:r>
    </w:p>
    <w:p>
      <w:pPr>
        <w:spacing w:after="0" w:line="205"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marketability of our products may suffer if the government and third-party payors fail to provide adequate coverage and reimbursement. Even if favorable coverage and reimbursement status is attained, less favorable coverage policies and reimbursement rates may be implemented in the future.</w:t>
      </w:r>
    </w:p>
    <w:p>
      <w:pPr>
        <w:spacing w:after="0" w:line="181" w:lineRule="exact"/>
        <w:rPr>
          <w:sz w:val="20"/>
          <w:szCs w:val="20"/>
          <w:color w:val="auto"/>
        </w:rPr>
      </w:pPr>
    </w:p>
    <w:p>
      <w:pPr>
        <w:ind w:left="60" w:right="839"/>
        <w:spacing w:after="0" w:line="271" w:lineRule="auto"/>
        <w:rPr>
          <w:sz w:val="20"/>
          <w:szCs w:val="20"/>
          <w:color w:val="auto"/>
        </w:rPr>
      </w:pPr>
      <w:r>
        <w:rPr>
          <w:rFonts w:ascii="Arial" w:cs="Arial" w:eastAsia="Arial" w:hAnsi="Arial"/>
          <w:sz w:val="18"/>
          <w:szCs w:val="18"/>
          <w:b w:val="1"/>
          <w:bCs w:val="1"/>
          <w:i w:val="1"/>
          <w:iCs w:val="1"/>
          <w:color w:val="auto"/>
        </w:rPr>
        <w:t>If we are unable to adequately train psychiatrists and other treatment providers on the safe and appropriate use of our products, we may be unable to achieve our expected growth.</w:t>
      </w:r>
    </w:p>
    <w:p>
      <w:pPr>
        <w:spacing w:after="0" w:line="1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There is a learning process involved for treatment providers to become proficient in the use of our products, which requires us to spend considerable time and resources for training. It is critical to the success of our commercialization efforts to train a sufficient number of psychiatrists and to provide them with adequate, ongoing instruction and training in the use of our products. This training process generally requires psychiatrists to review and study product materials, engage in multi-day, hands-on training sessions for up to four hours a day and participate in a multi-day observational period prior to treating patients independently. This training process may also take longer than expected or be more complicated than the psychiatrists or their personnel are comfortable with and may therefore affect our ability to increase sales. Convincing psychiatrists to dedicate the time and energy necessary for adequate training is challenging, and we may not be successful in these efforts.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Customers and their patients may be slow to adopt and use TMS therapies.</w:t>
      </w:r>
    </w:p>
    <w:p>
      <w:pPr>
        <w:spacing w:after="0" w:line="234"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TMS therapy is an emerging treatment option for patients suffering from MDD. As a result, customer and patient awareness of TMS therapy as a treatment option for MDD, and experience with TMS therapies, is limited. Our success depends in large part on our ability to educate and train customers and patients, and successfully demonstrate the safety, tolerability, ease of use, efficacy, cost effectiveness and other merits of our NeuroStar Advanced Therapy System. We have been engaging in an active marketing campaign to raise awareness of our NeuroStar Advanced Therapy System and its benefits among customers, but we cannot assure you that these efforts will be successful or that they will not prove to be cost-prohibitive. Some customers may also find the initial patient set up and the subsequent procedures for future treatment sessions to be difficult or complicated, or could be wary of the initial investment required for the purchase of the NeuroStar Advanced Therapy System, which may impact their decision to purchase or use the NeuroStar Advanced Therapy System as part of their practice. Similarly, customers may find it difficult to hire additional staff, allocate sufficient space or operationalize our NeuroStar Advanced Therapy System, which could slow its adoption.</w:t>
      </w:r>
    </w:p>
    <w:p>
      <w:pPr>
        <w:spacing w:after="0" w:line="19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addition, customers may not derive sufficient cash flow from using the NeuroStar Advanced Therapy Systems due to their own practice economics or otherwise. Failure to achieve economic benefits from the purchase or use of the NeuroStar Advanced Therapy System would adversely affect our customers’ purchase of treatment sessions. These factors could also reduce the number of procedures performed using our NeuroStar Advanced Therapy System, and if we do not facilitate the utilization of our products by our customers, our revenues and results of operations could be harmed.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b w:val="1"/>
          <w:bCs w:val="1"/>
          <w:i w:val="1"/>
          <w:iCs w:val="1"/>
          <w:color w:val="auto"/>
        </w:rPr>
        <w:t>Our success depends upon patient satisfaction with the effectiveness of our NeuroStar Advanced Therapy System.</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order to generate repeat and referral business, patients must be satisfied with the effectiveness of our NeuroStar Advanced Therapy System. Clinical studies demonstrate that, in order to be effective, our products must be used for a period of four to six weeks, and require a patient to return to a psychiatrist’s office five days a week during that period in order to receive the recommended course of treatment. Since patients who achieve response or remission using our therapy will obtain these results gradually over this treatment period, their perception of their results may vary depending on their compliance with the prescribed treatment course.</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train our customers to select the appropriate patient candidates for treatment using the NeuroStar Advanced Therapy System, explain to their patients the time-period over which the results from a treatment course can be expected to occur, and measure the success of treatments using medical guidelines. However, our customers may not select appropriate patient candidates for NeuroStar Advanced Therapy treatment, which may produce results that may not meet patients’ expectations. In addition, the efficacy of treatment is dependent on proper patient set up at the initial treatment session and duplication of that set up at future treatment sessions. To the extent customers do not make the proper measurements for a specific patient or use the same procedures at each treatment session, it could result in variability of the treatment efficacy and results for the patient. If patients are not satisfied with the results of our NeuroStar Advanced Therapy System, our reputation and future sales will suffer.</w:t>
      </w:r>
    </w:p>
    <w:p>
      <w:pPr>
        <w:spacing w:after="0" w:line="18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auto"/>
        </w:rPr>
        <w:t>We operate in a very competitive environment and if we are unable to compete successfully against our existing or potential competitors, our sales and operating results may be negatively affected.</w:t>
      </w:r>
    </w:p>
    <w:p>
      <w:pPr>
        <w:spacing w:after="0" w:line="1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currently marketed products are, and any future products we develop and commercialize will be, subject to intense competition. The industry in which we operate is subject to rapid change and is highly sensitive to the introduction of new products or other market activities of current or new industry participants. Our ability to compete successfully will depend on our ability to develop products that reach the market in a timely manner, to receive adequate coverage and reimbursement from third-party payors, and to successfully demonstrate to psychiatrists and patients the merits of our products compared to those of our competitors. If we are not successful in convincing others of the merits of our products, including in comparison to those of our competitors, or educating them on the use of our products, they may not use our products or use them effectively and we may be unable to increase our sales.</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have competitors that sell other forms of TMS therapy, including Brainsway, Magstim, MagVenture, CloudTMS and Nexstim, that compete directly with the NeuroStar Advanced Therapy System. Competing TMS therapy companies have developed and may develop additional treatments that can be administered for shorter time periods or for indications outside of MDD, or may develop treatments that have improved efficacy when compared to our products or that require a less significant investment of resources from psychiatrists. We also face competition from pharmaceutical and other companies that develop competitive products, such as antidepressant medications. Our commercial opportunity could be reduced or eliminated if these competitors develop and commercialize antidepressant medications or other treatments that are safer, more convenient or more effective than the NeuroStar Advanced Therapy System. At any time, these and other potential market entrants may develop treatment alternatives that may render our products uncompetitive.</w:t>
      </w:r>
    </w:p>
    <w:p>
      <w:pPr>
        <w:spacing w:after="0" w:line="20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addition, our competitors may have more established distribution networks than we do, or may be acquired by enterprises that have more established distribution networks than we do. Our competitors may also develop and patent processes or products earlier than we can or obtain domestic or international regulatory clearances or approvals for competing products more rapidly than we can, which could impair our ability to develop and commercialize similar products. We also compete with our competitors in acquiring technologies and technology licenses complementary to our products or advantageous to our business. In addition, we compete with our competitors to engage the services of independent distributors outside the United States, both those presently working with us and those with whom we hope to work as we expand.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encountered by companies in new and evolving markets.</w:t>
      </w:r>
    </w:p>
    <w:p>
      <w:pPr>
        <w:spacing w:after="0" w:line="234"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In assessing our prospects, you must consider the risks and difficulties frequently encountered by companies in new and evolving markets. These risks include our ability to:</w:t>
      </w:r>
    </w:p>
    <w:p>
      <w:pPr>
        <w:spacing w:after="0" w:line="197"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awareness of our brand and strengthen customer loyalty;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execute our business and marketing strategy;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products in development;</w:t>
      </w:r>
    </w:p>
    <w:p>
      <w:pPr>
        <w:spacing w:after="0" w:line="225" w:lineRule="exact"/>
        <w:rPr>
          <w:rFonts w:ascii="Arial" w:cs="Arial" w:eastAsia="Arial" w:hAnsi="Arial"/>
          <w:sz w:val="18"/>
          <w:szCs w:val="18"/>
          <w:color w:val="auto"/>
        </w:rPr>
      </w:pPr>
    </w:p>
    <w:p>
      <w:pPr>
        <w:ind w:left="720" w:right="599" w:hanging="319"/>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regulatory clearance or approval to commercialize new products and enhance our existing products;</w:t>
      </w:r>
    </w:p>
    <w:p>
      <w:pPr>
        <w:spacing w:after="0" w:line="196" w:lineRule="exact"/>
        <w:rPr>
          <w:rFonts w:ascii="Arial" w:cs="Arial" w:eastAsia="Arial" w:hAnsi="Arial"/>
          <w:sz w:val="18"/>
          <w:szCs w:val="18"/>
          <w:color w:val="auto"/>
        </w:rPr>
      </w:pPr>
    </w:p>
    <w:p>
      <w:pPr>
        <w:ind w:left="720" w:right="439" w:hanging="319"/>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refrain from infringing on the intellectual property rights of others, and maintaining appropriate legal policies and procedures;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presence in existing and commence operations in new international markets;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attract, retain and motivate qualified personnel.</w:t>
      </w:r>
    </w:p>
    <w:p>
      <w:pPr>
        <w:spacing w:after="0" w:line="190" w:lineRule="exact"/>
        <w:rPr>
          <w:sz w:val="20"/>
          <w:szCs w:val="20"/>
          <w:color w:val="auto"/>
        </w:rPr>
      </w:pPr>
    </w:p>
    <w:p>
      <w:pPr>
        <w:ind w:left="60" w:right="579"/>
        <w:spacing w:after="0" w:line="253" w:lineRule="auto"/>
        <w:rPr>
          <w:sz w:val="20"/>
          <w:szCs w:val="20"/>
          <w:color w:val="auto"/>
        </w:rPr>
      </w:pPr>
      <w:r>
        <w:rPr>
          <w:rFonts w:ascii="Arial" w:cs="Arial" w:eastAsia="Arial" w:hAnsi="Arial"/>
          <w:sz w:val="18"/>
          <w:szCs w:val="18"/>
          <w:b w:val="1"/>
          <w:bCs w:val="1"/>
          <w:i w:val="1"/>
          <w:iCs w:val="1"/>
          <w:color w:val="auto"/>
        </w:rPr>
        <w:t>If we are unable to adequately address our customers’ needs, it could negatively impact sales and market acceptance of our products and we may never generate sufficient revenues to achieve or sustain profitability.</w:t>
      </w:r>
    </w:p>
    <w:p>
      <w:pPr>
        <w:spacing w:after="0" w:line="191"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Our operating results are directly dependent upon the sales and marketing efforts of our sales and customer support team as well as our field sales personnel in the United States and our independent third-party distributors outside of the United States. If our employees or our independent distributors fail to adequately promote, market and sell our products, our sales could significantly decrease.</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If we launch new products, expand our product offerings to new indications or increase our marketing efforts with respect to existing products, we will need to expand the reach of our marketing and sales networks. Our future success will depend largely on our ability to continue to hire, train, retain and motivate skilled employees, and distributors with significant technical knowledge in various areas. Further, most of the salespersons we recently hired have technical expertise from other industries but no experience within our specific industry. New hires require training and take time to achieve full productivity. If we fail to train new hires adequately, new hires fail to successfully transition to our industry, or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products.</w:t>
      </w:r>
    </w:p>
    <w:p>
      <w:pPr>
        <w:spacing w:after="0" w:line="184"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b w:val="1"/>
          <w:bCs w:val="1"/>
          <w:i w:val="1"/>
          <w:iCs w:val="1"/>
          <w:color w:val="auto"/>
        </w:rPr>
        <w:t>The loss of any member of our senior management or our inability to attract and retain highly skilled executives, salespeople, product development and other personnel could negatively impact our business.</w:t>
      </w:r>
    </w:p>
    <w:p>
      <w:pPr>
        <w:spacing w:after="0" w:line="191" w:lineRule="exact"/>
        <w:rPr>
          <w:sz w:val="20"/>
          <w:szCs w:val="20"/>
          <w:color w:val="auto"/>
        </w:rPr>
      </w:pPr>
    </w:p>
    <w:p>
      <w:pPr>
        <w:ind w:left="60" w:right="279"/>
        <w:spacing w:after="0" w:line="257" w:lineRule="auto"/>
        <w:rPr>
          <w:sz w:val="20"/>
          <w:szCs w:val="20"/>
          <w:color w:val="auto"/>
        </w:rPr>
      </w:pPr>
      <w:r>
        <w:rPr>
          <w:rFonts w:ascii="Arial" w:cs="Arial" w:eastAsia="Arial" w:hAnsi="Arial"/>
          <w:sz w:val="17"/>
          <w:szCs w:val="17"/>
          <w:color w:val="auto"/>
        </w:rPr>
        <w:t>Our success depends on the skills, experience and performance of the members of our senior management team. The individual and collective efforts of these employees will be important as we continue to develop our products and as we expand our commercial activities. We believe that it is challenging to identify individuals with the requisite skills to serve in many of our key positions, and the loss or incapacity of existing members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of our executive management team could negatively impact our operations. We did not maintain key man life insurance on any of our employees in 2021. The existence of our Chief Executive Officer’s employment agreement does not guarantee our retention of our Chief Executive Officer for any period of time.</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commercial, supply chain and research and development programs and operations depend on our ability to attract and retain highly skilled managers, salespeople and product development and customer training personnel. We may be unable to attract or retain qualified managers, salespeople or product development and customer training personnel in the future due to the competition for qualified personnel in the medical treatment and device fields, as well as other fields. We also face competition from universities and public and private research institutions in recruiting and retaining highly qualified scientific personnel. Recruiting and retention difficulties can limit our ability to support our commercial, supply chain and research and development programs. The loss of key employees, the failure of any key employee to perform or our inability to attract and retain skilled employees, as needed, or an inability to effectively plan for and implement a succession plan for key employees could harm our business.</w:t>
      </w:r>
    </w:p>
    <w:p>
      <w:pPr>
        <w:spacing w:after="0" w:line="184"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b w:val="1"/>
          <w:bCs w:val="1"/>
          <w:i w:val="1"/>
          <w:iCs w:val="1"/>
          <w:color w:val="auto"/>
        </w:rPr>
        <w:t>Our long-term growth depends on our ability to commercialize our approved products for current and future indications and to develop and commercialize additional products through our research and development efforts. If we fail to do so we may be unable to compete effectively.</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order to increase our future revenues, we must successfully enhance our existing product offerings and introduce new products in response to changing customer demands and competitive pressures and technologies. Our industry is characterized by intense competition, including from lower-cost competitors, rapid technological changes, new product introductions and enhancements and evolving industry standards. We also face competition from pharmaceutical companies, including large pharmaceutical companies with greater capital. Our business prospects depend in part on our ability to develop and commercialize new products and applications for our technology, including in new markets that develop as a result of technological, pharmaceutical and scientific advances, while improving the performance and cost-effectiveness of our products. New pharmaceutical products, technologies, techniques or other products could emerge that might offer better combinations of price and performance than our products. It is important that we anticipate changes in technology and market demand, as well as psychiatrist practices to successfully develop, obtain clearance or approval, if required, and successfully introduce new, enhanced and competitive technologies to meet our prospective customers’ needs on a timely and cost-effective basis.</w:t>
      </w:r>
    </w:p>
    <w:p>
      <w:pPr>
        <w:spacing w:after="0" w:line="203"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We might be unable to successfully further commercialize or develop or obtain regulatory clearances or approvals to market new products or our existing products for additional indications. Future products, even if cleared, might not be accepted by psychiatrists or the third-party payors who reimburse for the procedures performed with our products. The success of any new product offering or enhancement to an existing product will depend on numerous additional factors, including our ability to:</w:t>
      </w:r>
    </w:p>
    <w:p>
      <w:pPr>
        <w:spacing w:after="0" w:line="202"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properly identify and anticipate clinician and patient needs;</w:t>
      </w:r>
    </w:p>
    <w:p>
      <w:pPr>
        <w:spacing w:after="0" w:line="225" w:lineRule="exact"/>
        <w:rPr>
          <w:rFonts w:ascii="Arial" w:cs="Arial" w:eastAsia="Arial" w:hAnsi="Arial"/>
          <w:sz w:val="18"/>
          <w:szCs w:val="18"/>
          <w:color w:val="auto"/>
        </w:rPr>
      </w:pPr>
    </w:p>
    <w:p>
      <w:pPr>
        <w:ind w:left="720" w:right="219" w:hanging="319"/>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the benefits associated with the use or our products when compared to the products and devices of our competitors;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25" w:lineRule="exact"/>
        <w:rPr>
          <w:rFonts w:ascii="Arial" w:cs="Arial" w:eastAsia="Arial" w:hAnsi="Arial"/>
          <w:sz w:val="18"/>
          <w:szCs w:val="18"/>
          <w:color w:val="auto"/>
        </w:rPr>
      </w:pPr>
    </w:p>
    <w:p>
      <w:pPr>
        <w:ind w:left="720" w:right="239" w:hanging="319"/>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the safety and efficacy of new products;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If we do not develop and obtain regulatory clearances or approvals for new products or indications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0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Nevertheless, we must carefully manage our introduction of new products. If potential customers believe such products will offer enhanced features or be sold for a more attractive price, they may delay purchases until such products are available. We may also have excess or obsolete inventory as we transition to new products, and we have limited experience in managing product transitions.</w:t>
      </w:r>
    </w:p>
    <w:p>
      <w:pPr>
        <w:spacing w:after="0" w:line="183" w:lineRule="exact"/>
        <w:rPr>
          <w:sz w:val="20"/>
          <w:szCs w:val="20"/>
          <w:color w:val="auto"/>
        </w:rPr>
      </w:pPr>
    </w:p>
    <w:p>
      <w:pPr>
        <w:jc w:val="both"/>
        <w:ind w:left="60" w:right="419"/>
        <w:spacing w:after="0" w:line="247" w:lineRule="auto"/>
        <w:rPr>
          <w:sz w:val="20"/>
          <w:szCs w:val="20"/>
          <w:color w:val="auto"/>
        </w:rPr>
      </w:pPr>
      <w:r>
        <w:rPr>
          <w:rFonts w:ascii="Arial" w:cs="Arial" w:eastAsia="Arial" w:hAnsi="Arial"/>
          <w:sz w:val="18"/>
          <w:szCs w:val="18"/>
          <w:b w:val="1"/>
          <w:bCs w:val="1"/>
          <w:i w:val="1"/>
          <w:iCs w:val="1"/>
          <w:color w:val="auto"/>
        </w:rPr>
        <w:t>We rely on single-source suppliers for some components used in our NeuroStar Advanced Therapy System and on a single manufacturer for the assembly of our NeuroStar Advanced Therapy System, and we may be unable to find replacements or immediately transition to alternative parties for these components.</w:t>
      </w:r>
    </w:p>
    <w:p>
      <w:pPr>
        <w:spacing w:after="0" w:line="19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rely on single-source suppliers for some components used in our NeuroStar Advanced Therapy System, and we do not have long-term supply contracts with these suppliers. Furthermore, we rely on a single manufacturer for the assembly of the mobile console and patient positioning system used in our NeuroStar Advanced Therapy System. For us to be successful, our suppliers and contract manufacturer must be able to provide us with components in substantial quantities, in compliance with regulatory requirements, in accordance with agreed upon specifications, at acceptable costs and on a timely basis. While these suppliers have generally met our demand requirements on a timely basis in the past, their ability and willingness to continue to do so going forward may be limited for several reasons, including our lack of long-term agreements with those suppliers, our relative importance as a customer of those suppliers, or, as applicable, their ability to produce the components for or provide assembly services to manufacture our NeuroStar Advanced Therapy System. An interruption in our commercial operations could occur if we encounter delays or difficulties in securing these components or manufactured products, if we cannot obtain an acceptable substitute.</w:t>
      </w:r>
    </w:p>
    <w:p>
      <w:pPr>
        <w:spacing w:after="0" w:line="20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Any transition to a new supplier or contract manufacturer could be time-consuming and expensive, may result in interruptions in our operations and product delivery, could affect the performance specifications of our NeuroStar Advanced Therapy System or could require that we modify its design. If we are required to change our contract manufacturer, we will be required to verify that the new manufacturer maintains facilities, procedures and operations that comply with our quality and applicable regulatory requirements, which could further impede our ability to manufacture our products in a timely manner. If the change in manufacturer results in a significant change to any product, a new 510(k) clearance from the FDA or similar non-U.S. regulatory authorization may be necessary before we implement the change, which could cause a substantial delay. We cannot assure you that we will be able to identify and engage alternative suppliers or contract manufacturers on similar terms or without delay. Furthermore, our contract manufacturer could require us to move to a different production facility. The occurrence of any of these events could harm our ability to meet the demand for our NeuroStar Advanced Therapy System in a timely and cost-effective manner.</w:t>
      </w:r>
    </w:p>
    <w:p>
      <w:pPr>
        <w:spacing w:after="0" w:line="182"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b w:val="1"/>
          <w:bCs w:val="1"/>
          <w:i w:val="1"/>
          <w:iCs w:val="1"/>
          <w:color w:val="auto"/>
        </w:rPr>
        <w:t>We may be unable to achieve or manage our anticipated growth effectively, which could make it difficult to execute our business strategy.</w:t>
      </w:r>
    </w:p>
    <w:p>
      <w:pPr>
        <w:spacing w:after="0" w:line="17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have a relatively short history of operating as a commercial company and our growth rate may be volatile. For example, our revenues increased from $49.2 million for the year ended December 31, 2020 to $55.3 million for the year ended December 31, 2021. We intend to grow our business operations and may experience periods of rapid growth and expansion. This anticipated growth could create a strain on our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52" w:lineRule="auto"/>
        <w:rPr>
          <w:sz w:val="20"/>
          <w:szCs w:val="20"/>
          <w:color w:val="auto"/>
        </w:rPr>
      </w:pPr>
      <w:r>
        <w:rPr>
          <w:rFonts w:ascii="Arial" w:cs="Arial" w:eastAsia="Arial" w:hAnsi="Arial"/>
          <w:sz w:val="17"/>
          <w:szCs w:val="17"/>
          <w:color w:val="auto"/>
        </w:rPr>
        <w:t>organizational, administrative and operational infrastructure, including our supply chain operations, quality control, technical support and customer service, sales force management and general and financial administration. We may be unable to maintain the quality, or delivery timelines, of our products or customer service or satisfy customer demand if our business grows too rapidly. Our ability to manage our growth properly will require us to continue to improve our operational, financial and management controls, and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19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As our commercial operations and sales volume grow, we will need to continue to increase our workflow capacity for our supply chain, customer service, training and education personnel, billing, accounting reporting and general process improvements and expand our internal quality assurance program, among other things. Because our products require us to devote significant resources to training our customers on the use, and educating our customers on the benefits, of our products, we will be required to expand these personnel as we increase our sales efforts. We may not successfully implement these increases in scale or the expansion of our personnel, which could harm our business.</w:t>
      </w:r>
    </w:p>
    <w:p>
      <w:pPr>
        <w:spacing w:after="0" w:line="181"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auto"/>
        </w:rPr>
        <w:t>We rely and, in the future, expect to rely on a network of third-party distributors to market and distribute our products internationally, and if we are unable to maintain and expand this network, we may be unable to generate anticipated sales.</w:t>
      </w:r>
    </w:p>
    <w:p>
      <w:pPr>
        <w:spacing w:after="0" w:line="19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rely, and expect to rely in the future, on a network of third-party distributors to market and distribute our products in international markets. We currently sell our products in five countries outside of the United States and plan to market and sell our products through our exclusive distribution agreement in Japan once we attain reimbursement approval. We are assessing the opportunity to continue expanding into other international markets. We may face significant challenges and risks in managing a geographically dispersed distribution network. We have limited ability to control any third-party distributors. Our distributors may be unable to successfully market and sell our products and may not devote sufficient time and resources to support the marketing, sales, education and training efforts that we believe enable the products to develop, achieve or sustain market acceptance. Additionally, in some international jurisdictions, we rely on our distributors to manage the regulatory process, while complying with all applicable rules and regulations, and we are dependent on their ability to do so effectively. In addition, if a dispute arises with a distributor or if a distributor is terminated by us or goes out of business, it may take time to locate an alternative distributor, to seek appropriate regulatory approvals and to train new personnel to market our products, and our ability to sell those systems in the region formerly serviced by such terminated distributor could be harmed.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our sales.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234"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We currently market and sell our products outside of the United States, including in Japan, and plan to market and sell our products through our exclusive distribution agreement in Japan. Once we attain satisfactory reimbursement approval, we expect that sales of our NeuroStar Advanced Therapy System in Japan will increase.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sale and shipment of our products across international borders, as well as the purchase of components and products from international sources, subjects us to extensive U.S. and other foreign governmental trade, import and export and customs regulations and laws. Compliance with these regulations and laws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205" w:lineRule="exact"/>
        <w:rPr>
          <w:sz w:val="20"/>
          <w:szCs w:val="20"/>
          <w:color w:val="auto"/>
        </w:rPr>
      </w:pPr>
    </w:p>
    <w:p>
      <w:pPr>
        <w:ind w:left="960" w:right="279" w:hanging="329"/>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and geographically dispersed operations, to the extent we establish non-U.S. operations;</w:t>
      </w:r>
    </w:p>
    <w:p>
      <w:pPr>
        <w:spacing w:after="0" w:line="196" w:lineRule="exact"/>
        <w:rPr>
          <w:rFonts w:ascii="Arial" w:cs="Arial" w:eastAsia="Arial" w:hAnsi="Arial"/>
          <w:sz w:val="18"/>
          <w:szCs w:val="18"/>
          <w:color w:val="auto"/>
        </w:rPr>
      </w:pPr>
    </w:p>
    <w:p>
      <w:pPr>
        <w:ind w:left="960" w:right="419" w:hanging="329"/>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attaining reimbursement under differing and multiple payor reimbursement regimes, government payors or patient self-pay systems;</w:t>
      </w:r>
    </w:p>
    <w:p>
      <w:pPr>
        <w:spacing w:after="0" w:line="196" w:lineRule="exact"/>
        <w:rPr>
          <w:rFonts w:ascii="Arial" w:cs="Arial" w:eastAsia="Arial" w:hAnsi="Arial"/>
          <w:sz w:val="18"/>
          <w:szCs w:val="18"/>
          <w:color w:val="auto"/>
        </w:rPr>
      </w:pPr>
    </w:p>
    <w:p>
      <w:pPr>
        <w:ind w:left="960" w:hanging="32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determining and creating the proper sales pathway in new, international markets;</w:t>
      </w:r>
    </w:p>
    <w:p>
      <w:pPr>
        <w:spacing w:after="0" w:line="225" w:lineRule="exact"/>
        <w:rPr>
          <w:rFonts w:ascii="Arial" w:cs="Arial" w:eastAsia="Arial" w:hAnsi="Arial"/>
          <w:sz w:val="18"/>
          <w:szCs w:val="18"/>
          <w:color w:val="auto"/>
        </w:rPr>
      </w:pPr>
    </w:p>
    <w:p>
      <w:pPr>
        <w:ind w:left="960" w:right="539" w:hanging="329"/>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various U.S. and international laws, including export control laws and the U.S. Foreign Corrupt Practices Act of 1977, or the FCPA, and anti-money laundering laws;</w:t>
      </w:r>
    </w:p>
    <w:p>
      <w:pPr>
        <w:spacing w:after="0" w:line="196" w:lineRule="exact"/>
        <w:rPr>
          <w:rFonts w:ascii="Arial" w:cs="Arial" w:eastAsia="Arial" w:hAnsi="Arial"/>
          <w:sz w:val="18"/>
          <w:szCs w:val="18"/>
          <w:color w:val="auto"/>
        </w:rPr>
      </w:pPr>
    </w:p>
    <w:p>
      <w:pPr>
        <w:ind w:left="960" w:hanging="32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regulatory requirements for obtaining clearances or approvals to market our products;</w:t>
      </w:r>
    </w:p>
    <w:p>
      <w:pPr>
        <w:spacing w:after="0" w:line="225" w:lineRule="exact"/>
        <w:rPr>
          <w:rFonts w:ascii="Arial" w:cs="Arial" w:eastAsia="Arial" w:hAnsi="Arial"/>
          <w:sz w:val="18"/>
          <w:szCs w:val="18"/>
          <w:color w:val="auto"/>
        </w:rPr>
      </w:pPr>
    </w:p>
    <w:p>
      <w:pPr>
        <w:ind w:left="960" w:right="299" w:hanging="329"/>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uncertainties relating to, foreign rules and regulations that may impact our ability to sell our products, perform services or repatriate profits to the United States;</w:t>
      </w:r>
    </w:p>
    <w:p>
      <w:pPr>
        <w:spacing w:after="0" w:line="196" w:lineRule="exact"/>
        <w:rPr>
          <w:rFonts w:ascii="Arial" w:cs="Arial" w:eastAsia="Arial" w:hAnsi="Arial"/>
          <w:sz w:val="18"/>
          <w:szCs w:val="18"/>
          <w:color w:val="auto"/>
        </w:rPr>
      </w:pPr>
    </w:p>
    <w:p>
      <w:pPr>
        <w:ind w:left="960" w:right="819" w:hanging="329"/>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and trade barriers, export regulations, sanctions and other regulatory and contractual limitations on our ability to sell our products in certain foreign markets;</w:t>
      </w:r>
    </w:p>
    <w:p>
      <w:pPr>
        <w:spacing w:after="0" w:line="196" w:lineRule="exact"/>
        <w:rPr>
          <w:rFonts w:ascii="Arial" w:cs="Arial" w:eastAsia="Arial" w:hAnsi="Arial"/>
          <w:sz w:val="18"/>
          <w:szCs w:val="18"/>
          <w:color w:val="auto"/>
        </w:rPr>
      </w:pPr>
    </w:p>
    <w:p>
      <w:pPr>
        <w:ind w:left="960" w:right="559" w:hanging="32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adverse tax consequences, including imposition of limitations on or increases of withholding and other taxes on remittances and other payments by foreign subsidiaries or joint ventures;</w:t>
      </w:r>
    </w:p>
    <w:p>
      <w:pPr>
        <w:spacing w:after="0" w:line="202" w:lineRule="exact"/>
        <w:rPr>
          <w:rFonts w:ascii="Arial" w:cs="Arial" w:eastAsia="Arial" w:hAnsi="Arial"/>
          <w:sz w:val="18"/>
          <w:szCs w:val="18"/>
          <w:color w:val="auto"/>
        </w:rPr>
      </w:pPr>
    </w:p>
    <w:p>
      <w:pPr>
        <w:ind w:left="960" w:hanging="32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differing labor laws and standards;</w:t>
      </w:r>
    </w:p>
    <w:p>
      <w:pPr>
        <w:spacing w:after="0" w:line="225" w:lineRule="exact"/>
        <w:rPr>
          <w:rFonts w:ascii="Arial" w:cs="Arial" w:eastAsia="Arial" w:hAnsi="Arial"/>
          <w:sz w:val="18"/>
          <w:szCs w:val="18"/>
          <w:color w:val="auto"/>
        </w:rPr>
      </w:pPr>
    </w:p>
    <w:p>
      <w:pPr>
        <w:ind w:left="960" w:right="159" w:hanging="329"/>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armed conflicts or economic, political, health (including pandemic diseases such as COVID-19 from coronavirus) or social instability in foreign countries and regions;</w:t>
      </w:r>
    </w:p>
    <w:p>
      <w:pPr>
        <w:spacing w:after="0" w:line="196" w:lineRule="exact"/>
        <w:rPr>
          <w:rFonts w:ascii="Arial" w:cs="Arial" w:eastAsia="Arial" w:hAnsi="Arial"/>
          <w:sz w:val="18"/>
          <w:szCs w:val="18"/>
          <w:color w:val="auto"/>
        </w:rPr>
      </w:pPr>
    </w:p>
    <w:p>
      <w:pPr>
        <w:ind w:left="960" w:hanging="32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60" w:right="199" w:hanging="329"/>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or reduced ability, to protect our intellectual property, including any effect of compulsory licensing imposed by government action;</w:t>
      </w:r>
    </w:p>
    <w:p>
      <w:pPr>
        <w:spacing w:after="0" w:line="196" w:lineRule="exact"/>
        <w:rPr>
          <w:rFonts w:ascii="Arial" w:cs="Arial" w:eastAsia="Arial" w:hAnsi="Arial"/>
          <w:sz w:val="18"/>
          <w:szCs w:val="18"/>
          <w:color w:val="auto"/>
        </w:rPr>
      </w:pPr>
    </w:p>
    <w:p>
      <w:pPr>
        <w:ind w:left="960" w:right="79" w:hanging="329"/>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government subsidies or other incentives that benefit competitors in their local markets that are not available to us; and</w:t>
      </w:r>
    </w:p>
    <w:p>
      <w:pPr>
        <w:spacing w:after="0" w:line="196" w:lineRule="exact"/>
        <w:rPr>
          <w:rFonts w:ascii="Arial" w:cs="Arial" w:eastAsia="Arial" w:hAnsi="Arial"/>
          <w:sz w:val="18"/>
          <w:szCs w:val="18"/>
          <w:color w:val="auto"/>
        </w:rPr>
      </w:pPr>
    </w:p>
    <w:p>
      <w:pPr>
        <w:ind w:left="960" w:hanging="32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post-market surveillance on product performance.</w:t>
      </w:r>
    </w:p>
    <w:p>
      <w:pPr>
        <w:spacing w:after="0" w:line="22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b w:val="1"/>
          <w:bCs w:val="1"/>
          <w:i w:val="1"/>
          <w:iCs w:val="1"/>
          <w:color w:val="auto"/>
        </w:rPr>
        <w:t>Our employees, consultants, distributors and other commercial partners may engage in misconduct or other improper activities, including non-compliance with regulatory standards and requirements.</w:t>
      </w:r>
    </w:p>
    <w:p>
      <w:pPr>
        <w:spacing w:after="0" w:line="176"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are exposed to the risk that our employees, consultants, distributors and other commercial partners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90"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b w:val="1"/>
          <w:bCs w:val="1"/>
          <w:i w:val="1"/>
          <w:iCs w:val="1"/>
          <w:color w:val="auto"/>
        </w:rPr>
        <w:t>We rely in part on third parties to conduct our clinical trials. If these third parties fail to perform their duties on time or as expected, we may not be able to obtain regulatory approval for additional indications that we may seek for the NeuroStar Advanced Therapy System.</w:t>
      </w:r>
    </w:p>
    <w:p>
      <w:pPr>
        <w:spacing w:after="0" w:line="19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Our clinical trials are managed by our own staff and personnel, but we rely in part upon certain third-parties, including clinical trial sites, medical institutions, clinical research organizations, or CROs, and private practices, for, among other things, site monitoring, statistical work and electronic data capture in our clinical trials. Nevertheless, we are responsible for ensuring that each of our clinical trials is conducted in accordance with applicable protocols, and legal, regulatory and scientific standards, including current good clinical practices, or cGCPs, which are regulations and guidelines enforced by the FDA and comparable foreign regulatory authorities for clinical trials. If we or any such third parties fail to comply with applicable cGCPs, the clinical data generated in such trials may be deemed unreliable and the FDA or comparable foreign regulatory authorities may require us to perform additional clinical trials before approving a marketing application for any particular indication. In addition, if such third parties do not devote sufficient time and resources to our clinical trials or otherwise carry out their contractual duties or obligations or meet expected deadlines, if they need to be replaced or if the quality or accuracy of the clinical data they assist in obtaining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in a specified indication.</w:t>
      </w:r>
    </w:p>
    <w:p>
      <w:pPr>
        <w:spacing w:after="0" w:line="191" w:lineRule="exact"/>
        <w:rPr>
          <w:sz w:val="20"/>
          <w:szCs w:val="20"/>
          <w:color w:val="auto"/>
        </w:rPr>
      </w:pPr>
    </w:p>
    <w:p>
      <w:pPr>
        <w:ind w:left="60" w:right="759"/>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our business may be harmed, and we may be required to pay damages that exceed our insurance coverage.</w:t>
      </w:r>
    </w:p>
    <w:p>
      <w:pPr>
        <w:spacing w:after="0" w:line="176" w:lineRule="exact"/>
        <w:rPr>
          <w:sz w:val="20"/>
          <w:szCs w:val="20"/>
          <w:color w:val="auto"/>
        </w:rPr>
      </w:pPr>
    </w:p>
    <w:p>
      <w:pPr>
        <w:ind w:left="60" w:right="339"/>
        <w:spacing w:after="0" w:line="274" w:lineRule="auto"/>
        <w:rPr>
          <w:sz w:val="20"/>
          <w:szCs w:val="20"/>
          <w:color w:val="auto"/>
        </w:rPr>
      </w:pPr>
      <w:r>
        <w:rPr>
          <w:rFonts w:ascii="Arial" w:cs="Arial" w:eastAsia="Arial" w:hAnsi="Arial"/>
          <w:sz w:val="17"/>
          <w:szCs w:val="17"/>
          <w:color w:val="auto"/>
        </w:rPr>
        <w:t>Our business exposes us to potential product liability claims that are inherent in the testing, manufacture and sale of medical devices for the treatment of MDD. Our treatments are designed for patients who suffer from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significant neurohealth disorders, and these patients are more likely to experience significant adverse health outcomes, which could increase the risk of product liability lawsuits. Furthermore, if psychiatrists are not sufficiently trained in the use of our products, they may misuse or ineffectively use our products, which may result in unsatisfactory patient outcomes. We could become the subject of product liability lawsuits alleging that component failures, malfunctions, manufacturing flaws, design defects or inadequate disclosure of product-related risks or product-related information resulted in an unsafe condition or injury to patients.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Regardless of the merit or eventual outcome, product liability claims may result in:</w:t>
      </w:r>
    </w:p>
    <w:p>
      <w:pPr>
        <w:spacing w:after="0" w:line="212"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defense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commercialize new products or product candidates;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attention from pursuing our business strategy.</w:t>
      </w:r>
    </w:p>
    <w:p>
      <w:pPr>
        <w:spacing w:after="0" w:line="22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existing product liability insurance coverage may be inadequate to protect us from any liabilities we might incur.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the result of a product liability claim, could result in significant costs and loss of customers.</w:t>
      </w:r>
    </w:p>
    <w:p>
      <w:pPr>
        <w:spacing w:after="0" w:line="183"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b w:val="1"/>
          <w:bCs w:val="1"/>
          <w:i w:val="1"/>
          <w:iCs w:val="1"/>
          <w:color w:val="auto"/>
        </w:rPr>
        <w:t>Our insurance policies protect us only from some business risks, which will leave us exposed to significant uninsured liabilities.</w:t>
      </w:r>
    </w:p>
    <w:p>
      <w:pPr>
        <w:spacing w:after="0" w:line="1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cybersecurity liability, employee benefits liability, property, umbrella, workers’ compensation, products and clinical trial liability and directors’ and officers’ insurance. We do not know, however, if these policies will provide us with adequate levels of coverage. Any significant uninsured liability may require us to pay substantial amounts, which would adversely affect our cash position and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bear the risk of warranty claims on the products we supply for one year from the date of delivery. There can be no assurance that we will not face increased claims in the future. We may not be successful in claiming recovery under any warranty or indemnity provided to us by our suppliers or vendors in the event of a successful warranty claim against us by a customer or that any recovery from such vendor or supplier would be adequate. In addition, warranty claims brought by our customers related to third-party components may arise after our ability to bring corresponding warranty claims against such suppliers expires, which could result in costs to 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b w:val="1"/>
          <w:bCs w:val="1"/>
          <w:i w:val="1"/>
          <w:iCs w:val="1"/>
          <w:color w:val="auto"/>
        </w:rPr>
        <w:t>We could be negatively impacted by violations of applicable anti-corruption laws or violations of our internal policies designed to ensure ethical business practices.</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operate in a number of countries throughout the world, including in countries that do not have as strong a commitment to anti-corruption and ethical behavior that is required by U.S. laws or by our corporate policies. We are subject to the risk that we, our U.S. employees or any future employees or consultants located in other jurisdictions or any third parties such as our distributors that we engage to do work on our behalf in foreign countries may take action determined to be in violation of anti-corruption laws in any jurisdiction in which we conduct business, including the FCPA.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204" w:lineRule="exact"/>
        <w:rPr>
          <w:sz w:val="20"/>
          <w:szCs w:val="20"/>
          <w:color w:val="auto"/>
        </w:rPr>
      </w:pPr>
    </w:p>
    <w:p>
      <w:pPr>
        <w:ind w:left="60" w:right="179"/>
        <w:spacing w:after="0" w:line="251" w:lineRule="auto"/>
        <w:rPr>
          <w:sz w:val="20"/>
          <w:szCs w:val="20"/>
          <w:color w:val="auto"/>
        </w:rPr>
      </w:pPr>
      <w:r>
        <w:rPr>
          <w:rFonts w:ascii="Arial" w:cs="Arial" w:eastAsia="Arial" w:hAnsi="Arial"/>
          <w:sz w:val="17"/>
          <w:szCs w:val="17"/>
          <w:color w:val="auto"/>
        </w:rPr>
        <w:t>We will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We have implemented company policies relating to compliance with the FCPA and similar laws. However, such policies may not be effective at preventing all potential FCPA or other violations. Although our agreements with our international distributors state our expectations for our distributors’ compliance with U.S. laws, including the FCPA, and provide us with various remedies upon any non-compliance, including the ability to terminate the agreement, our distributors may not comply with U.S. laws, including the FCPA.</w:t>
      </w:r>
    </w:p>
    <w:p>
      <w:pPr>
        <w:spacing w:after="0" w:line="197"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Any violation of the FCPA or any similar anti-corruption law or regulation could result in substantial fines, sanctions, civil and/or criminal penalties and curtailment of operations in certain jurisdictions and might harm our business, financial condition or results of operations.</w:t>
      </w:r>
    </w:p>
    <w:p>
      <w:pPr>
        <w:spacing w:after="0" w:line="181"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76"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depend on our information technology systems for the efficient functioning of our business, including for our TrakStar system and accounting, data storage, compliance, purchasing and inventory management. We do not have redundant systems at this time. While we will attempt to mitigate interruptions, we may experience difficulties in implementing upgrades to our information technology systems, which would impact our business operations, or experience difficulties in operating our business during the upgrade, either of which could disrupt our operations, including our ability to provide customers with data on patient outcomes, track the usage of our products, timely ship and track product orders, project inventory requirements, manage our supply chain and otherwise adequately service our customers or disrupt our customers’ ability to access patient data or use our products for treatments. In the event we experience significant disruptions as a 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 Currently we carry business interruption coverage to mitigate any potential losses, but we cannot be certain that such potential losses will not exceed our policy limits.</w:t>
      </w:r>
    </w:p>
    <w:p>
      <w:pPr>
        <w:spacing w:after="0" w:line="214"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b w:val="1"/>
          <w:bCs w:val="1"/>
          <w:i w:val="1"/>
          <w:iCs w:val="1"/>
          <w:color w:val="auto"/>
        </w:rPr>
        <w:t>Performance issues, service interruptions or price increases by our shipping carriers could adversely affect our business and harm our reputation and ability to provide our services on a timely basis.</w:t>
      </w:r>
    </w:p>
    <w:p>
      <w:pPr>
        <w:spacing w:after="0" w:line="153" w:lineRule="exact"/>
        <w:rPr>
          <w:sz w:val="20"/>
          <w:szCs w:val="20"/>
          <w:color w:val="auto"/>
        </w:rPr>
      </w:pPr>
    </w:p>
    <w:p>
      <w:pPr>
        <w:ind w:left="60" w:right="119"/>
        <w:spacing w:after="0" w:line="252" w:lineRule="auto"/>
        <w:rPr>
          <w:sz w:val="20"/>
          <w:szCs w:val="20"/>
          <w:color w:val="auto"/>
        </w:rPr>
      </w:pPr>
      <w:r>
        <w:rPr>
          <w:rFonts w:ascii="Arial" w:cs="Arial" w:eastAsia="Arial" w:hAnsi="Arial"/>
          <w:sz w:val="17"/>
          <w:szCs w:val="17"/>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Security and privacy breaches may expose us to liability and harm our reputation and business.</w:t>
      </w:r>
    </w:p>
    <w:p>
      <w:pPr>
        <w:spacing w:after="0" w:line="23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As part of our business we receive and process information about our customers, partners and their patients, including protected health information, or PHI, and we may store or contract with third parties to store our customers’ data, including PHI. PHI, a subset of individually identifiable information, is regulated at the federal level by HIPAA, as amended by HITECH, and by various laws at the state level, as more fully described below. We are required to safeguard PHI in accordance with HIPAA and, as a business associate, we are also directly liable for compliance with HIPAA.</w:t>
      </w:r>
    </w:p>
    <w:p>
      <w:pPr>
        <w:spacing w:after="0" w:line="205"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The security measures we have implemented relating to our NeuroStar Advanced Therapy System and TrakStar database, specifically, and our operations, generally, may not prevent security breaches that could harm our business. Advances in computer capabilities, inadequate technology or facility security measures or other factors may result in a compromise or breach of our systems and the data and PHI we store and process. Our security measures may be breached as a result of actions by third parties or employee error or malfeasance. A party who is able to circumvent our security measures or exploit inadequacies in our security measures, could, among other things, misappropriate proprietary information, including information about our customers and their patients, cause the loss or disclosure of some or all of this information, cause interruptions in our or our customers’ operations or expose our customers to computer viruses or other disruptions or vulnerabilities. Any compromise of our systems or the data we store or process could implicate reporting requirements under HIPAA, result in a loss of confidence in the security of our software, damage our reputation, disrupt our business, lead to legal liability and adversely affect our results of operations. Moreover, a compromise of our systems could remain undetected for an extended period of time, exacerbating the impact of that compromise. Actual or perceived vulnerabilities may lead to claims against us by our customers, their patients or other third parties, including the federal and state governments. While our customer agreements typically contain provisions that seek to limit our liability, there is no assurance these provisions will be enforceable and effective under applicable law. In addition, the cost and operational consequences of implementing further data protection measures could be significant.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Employment litigation and unfavorable publicity could negatively affect our future business.</w:t>
      </w:r>
    </w:p>
    <w:p>
      <w:pPr>
        <w:spacing w:after="0" w:line="234"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Employees may, from time to time, bring lawsuits against us or make public claims about us regarding injury, creating a hostile workplace, discrimination, wage and hour, sexual harassment and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Companies that have faced employment or harassment related lawsuits have had to terminate management or other key personnel and have suffered reputational harm that has negatively impacted their sales. If we were to face any employment related claims or allegations, our business could be negatively affected.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2017 comprehensive tax reform law could adversely affect our business and financial condition.</w:t>
      </w:r>
    </w:p>
    <w:p>
      <w:pPr>
        <w:spacing w:after="0" w:line="23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December 22, 2017, President Trump signed into law new legislation, (Pub. L. 115-97), commonly referred to as the Tax Cuts and Jobs Act of 2017, or the TCJA, which significantly revised the Internal Revenue Code of 1986, as amended. The TCJA, among other things, contained significant changes to corporate taxation, including the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federal tax law is uncertain and our business and financial condition could be adversely affected. In addition, it is uncertain how various states will respond to the TCJA.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91"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76"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newly enacted federal income tax law,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85" w:lineRule="exact"/>
        <w:rPr>
          <w:sz w:val="20"/>
          <w:szCs w:val="20"/>
          <w:color w:val="auto"/>
        </w:rPr>
      </w:pPr>
    </w:p>
    <w:p>
      <w:pPr>
        <w:ind w:left="60" w:right="599"/>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or loss due to natural or other disasters, power loss, strikes and other events beyond our control.</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 major earthquake, fire or other disaster, such as a major flood, seasonal storms, pandemic disease (such as COVID-19 from coronavirus), or terrorist attack affecting our facilities, or those of our third-party manufacturers or suppliers, could significantly disrupt our or their operations, and delay or prevent product shipment or installation during the time required to repair, rebuild or replace our third-party manufacturers or suppliers’ damaged manufacturing facilities. These delays could be lengthy and costly. If any of our manufacturers’, suppliers’ or customers’ facilities are negatively impacted by a disaster, shipments of our products could be delayed. Additionally, customers may delay purchases of our products until operations return to normal. Even if we are able to quickly respond to a disaster, the ongoing effects of the disaster could create some uncertainty in the operations of our business. In addition, our or their facilities may be subject to a shortage of available electrical power and other energy supplies. Any shortages may increase our costs for power and energy supplies or could result in blackouts, which could disrupt the operations of our affected facilities and harm our business. In addition, concerns about terrorism, the effects of a terrorist attack, political turmoil or an outbreak of pandemic diseases (including COVID-19 from coronavirus) could have a negative effect on our operations.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Epidemic diseases could negatively affect various aspects of our business, make it more difficult to meet our obligations to our customers, and could result in reduced demand from our customers. These could have a material adverse effect on our business, financial condition, results of operations, or cash flows.</w:t>
      </w:r>
    </w:p>
    <w:p>
      <w:pPr>
        <w:spacing w:after="0" w:line="196"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Our business could be adversely affected by the effects of a widespread outbreak of contagious disease, including the recent outbreak of a respiratory illness known as COVID-19 caused by coronavirus. In an effort to halt the outbreak of COVID-19, the Chinese government and the governments of other impacted countries, such as Italy and the Republic of Korea, have placed significant restrictions on travel within their respective borders, leading to extended business closures in some instances. These travel restrictions and business closures could adversely impact our operations in Japan, including our ability to sell or distribute our products, as well as cause temporary or long-term closures of the offices and facilities of our suppliers and customers. Any disruption of our suppliers in China or customers in Japan could impact our global sales and operating results. We cannot at this time accurately predict what effects these conditions will have on our operations due to uncertainties relating to the ultimate geographic spread of the virus, the incidence and severity of the disease, the duration of the outbreak, and the length of the travel restrictions and business closures imposed by governments of impacted countries. In addition,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w:t>
      </w:r>
    </w:p>
    <w:p>
      <w:pPr>
        <w:spacing w:after="0" w:line="191"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b w:val="1"/>
          <w:bCs w:val="1"/>
          <w:i w:val="1"/>
          <w:iCs w:val="1"/>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196"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w:t>
      </w:r>
    </w:p>
    <w:p>
      <w:pPr>
        <w:spacing w:after="0" w:line="205"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assimilating or integrating acquired or licensed technologies, products or business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720" w:right="319"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disruption of ongoing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distributors and customers;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losses related to investments in other companies;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205"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languages and legal and regulatory environments, currency risks and the particular economic, political and regulatory risks associated with specific countries.</w:t>
      </w:r>
    </w:p>
    <w:p>
      <w:pPr>
        <w:spacing w:after="0" w:line="20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To finance any acquisitions, investments or strategic alliances, we may choose to issue shares of our common stock or other equity-linked securities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spacing w:after="0" w:line="180"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Generally accepted accounting principles in the United States, or U.S. GAAP, are subject to interpretation by the Financial Accounting Standards Board, or FASB,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02"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auto"/>
        </w:rPr>
        <w:t>Refer to “Note 4. Recent Accounting Pronouncements” in our audited financial statements and related notes thereto included elsewhere in this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sales volumes and our results of operations may fluctuate over the course of the year.</w:t>
      </w:r>
    </w:p>
    <w:p>
      <w:pPr>
        <w:spacing w:after="0" w:line="23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have experienced and may continue to experience meaningful variability in our sales and gross profit among quarters. A number of factors over which we have limited control, such as seasonal variations in revenues, may contribute to fluctuations in our financial results. In the first quarter, our results can be impacted by severe weather and by the resetting of annual U.S. patient healthcare insurance plan deductibles, which may cause delays in patients seeking NeuroStar Advanced Therapy treatments. Historically, we have seen a sequential decline in third quarter revenues, which we believe is attributable to summer vacation plans of psychiatrists and patients. In addition, the fourth quarter has consistently been a strong revenue quarter on a sequential basis primarily due to U.S. psychiatrists’ historical timing for capital expenditures and patients’ needs to exhaust remaining balances in flexible spending accounts.</w:t>
      </w:r>
    </w:p>
    <w:p>
      <w:pPr>
        <w:spacing w:after="0" w:line="207"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Additional factors that we expect may contribute to variability in our sales and gross profit over the course of the year include:</w:t>
      </w:r>
    </w:p>
    <w:p>
      <w:pPr>
        <w:spacing w:after="0" w:line="197"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growth or decline of our installed system base;</w:t>
      </w:r>
    </w:p>
    <w:p>
      <w:pPr>
        <w:spacing w:after="0" w:line="225" w:lineRule="exact"/>
        <w:rPr>
          <w:rFonts w:ascii="Arial" w:cs="Arial" w:eastAsia="Arial" w:hAnsi="Arial"/>
          <w:sz w:val="18"/>
          <w:szCs w:val="18"/>
          <w:color w:val="auto"/>
        </w:rPr>
      </w:pPr>
    </w:p>
    <w:p>
      <w:pPr>
        <w:ind w:left="720" w:right="539" w:hanging="319"/>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unpredictability of future sales by our international distributors, including through our exclusive distributor in Japan;</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225" w:lineRule="exact"/>
        <w:rPr>
          <w:rFonts w:ascii="Arial" w:cs="Arial" w:eastAsia="Arial" w:hAnsi="Arial"/>
          <w:sz w:val="18"/>
          <w:szCs w:val="18"/>
          <w:color w:val="auto"/>
        </w:rPr>
      </w:pPr>
    </w:p>
    <w:p>
      <w:pPr>
        <w:ind w:left="720" w:right="399" w:hanging="319"/>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or failure to obtain regulatory clearances or approvals for other products, indications or treatments; or</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benefits and timing of new product introductions.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2" w:lineRule="exact"/>
        <w:rPr>
          <w:sz w:val="20"/>
          <w:szCs w:val="20"/>
          <w:color w:val="auto"/>
        </w:rPr>
      </w:pPr>
    </w:p>
    <w:p>
      <w:pPr>
        <w:ind w:left="60" w:right="459"/>
        <w:spacing w:after="0" w:line="253"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products, or product candidates, development and commercialization of our products and product candidates may be adversely affected.</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 We have applied, and we intend to continue applying, for patents covering aspects of our technologies that we deem appropriate. However, the patent process is expensive and time consuming, and we may not be able to apply for patents on certain aspects of our current or future products and other technologies in a timely fashion, at a reasonable cost, in all jurisdictions, or at all, and any potential patent coverage we obtain may not be sufficient to prevent substantial competition.</w:t>
      </w:r>
    </w:p>
    <w:p>
      <w:pPr>
        <w:spacing w:after="0" w:line="207"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cannot offer any assurances about which, if any, of our patent applications will issue or whether any of our issued patents will be found invalid and unenforceable or will be threatened by third parties. Any patent applications we file may be challenged and may not result in issued patents or may be invalidated or narrowed in scope after they are issued. We also cannot provide any assurances that any of our patents have, or that any of our pending patent applications that mature into issued patents will include, claims with a scope sufficient to protect and provide exclusivity for our products, any additional features we develop for our products or any new products. 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Any successful opposition to these patents or any other patents owned by or, if applicable in the future, licensed to us could deprive us of rights necessary for the practice of our technologies or the successful commercialization of any products or product candidates that we may develop. Since patent applications in the US and most other countries are confidential for a period of time after filing, we cannot be certain that we or our licensors were the first to file any patent application related to our technologies, products, or product candidates. Furthermore, an interference proceeding can be provoked by a third party or instituted by the United States Patent and Trademark Office, or the USPTO, to determine who was the first to invent any of the subject matter covered by the patent claims of our applications for any application with an effective filing date before March 16, 2013.</w:t>
      </w:r>
    </w:p>
    <w:p>
      <w:pPr>
        <w:spacing w:after="0" w:line="21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patent positions of medical device companies, including our patent position, may involve complex legal and factual questions, and, therefore, the scope, validity and enforceability of any patent claims that we may obtain cannot be predicted with certainty. Patents, if issued, may be challenged, deemed unenforceable, invalidated or circumvented. 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Proceedings challenging our patents, which may continue for a protracted period of time,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in an interference proceeding can result in a third party receiving the patent right sought by us, which in turn could affect our ability to commercialize our products.</w:t>
      </w:r>
    </w:p>
    <w:p>
      <w:pPr>
        <w:spacing w:after="0" w:line="20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alternative and possibly more effective technologies, designs or methods. We may be unable to prevent the unauthorized disclosure or use of our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technical knowledge or trade secrets by consultants, suppliers, vendors, former employees and current employees. The laws of some foreign countries do not protect our proprietary rights to the same extent as the laws of the United States, and we may encounter significant problems in protecting our proprietary rights in these countries.</w:t>
      </w:r>
    </w:p>
    <w:p>
      <w:pPr>
        <w:spacing w:after="0" w:line="20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20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 If we initiate lawsuits to protect or enforce our patents, or litigate against third party claims, such proceedings would be expensive and would divert the attention of our management and technical personnel.</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12" w:lineRule="exact"/>
        <w:rPr>
          <w:sz w:val="20"/>
          <w:szCs w:val="20"/>
          <w:color w:val="auto"/>
        </w:rPr>
      </w:pPr>
    </w:p>
    <w:p>
      <w:pPr>
        <w:ind w:left="720" w:right="379" w:hanging="319"/>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225" w:lineRule="exact"/>
        <w:rPr>
          <w:rFonts w:ascii="Arial" w:cs="Arial" w:eastAsia="Arial" w:hAnsi="Arial"/>
          <w:sz w:val="18"/>
          <w:szCs w:val="18"/>
          <w:color w:val="auto"/>
        </w:rPr>
      </w:pPr>
    </w:p>
    <w:p>
      <w:pPr>
        <w:ind w:left="720" w:right="379" w:hanging="319"/>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196" w:lineRule="exact"/>
        <w:rPr>
          <w:rFonts w:ascii="Arial" w:cs="Arial" w:eastAsia="Arial" w:hAnsi="Arial"/>
          <w:sz w:val="18"/>
          <w:szCs w:val="18"/>
          <w:color w:val="auto"/>
        </w:rPr>
      </w:pPr>
    </w:p>
    <w:p>
      <w:pPr>
        <w:ind w:left="720" w:right="279" w:hanging="319"/>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that we own or license expire;</w:t>
      </w:r>
    </w:p>
    <w:p>
      <w:pPr>
        <w:spacing w:after="0" w:line="196" w:lineRule="exact"/>
        <w:rPr>
          <w:rFonts w:ascii="Arial" w:cs="Arial" w:eastAsia="Arial" w:hAnsi="Arial"/>
          <w:sz w:val="18"/>
          <w:szCs w:val="18"/>
          <w:color w:val="auto"/>
        </w:rPr>
      </w:pPr>
    </w:p>
    <w:p>
      <w:pPr>
        <w:ind w:left="720" w:right="1039" w:hanging="319"/>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the patents and pending patent applications that we own or license;</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licensors were the first to file patent applications for these inventions;</w:t>
      </w:r>
    </w:p>
    <w:p>
      <w:pPr>
        <w:spacing w:after="0" w:line="225" w:lineRule="exact"/>
        <w:rPr>
          <w:rFonts w:ascii="Arial" w:cs="Arial" w:eastAsia="Arial" w:hAnsi="Arial"/>
          <w:sz w:val="18"/>
          <w:szCs w:val="18"/>
          <w:color w:val="auto"/>
        </w:rPr>
      </w:pPr>
    </w:p>
    <w:p>
      <w:pPr>
        <w:ind w:left="720" w:right="439" w:hanging="319"/>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the patents we own or license;</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225" w:lineRule="exact"/>
        <w:rPr>
          <w:rFonts w:ascii="Arial" w:cs="Arial" w:eastAsia="Arial" w:hAnsi="Arial"/>
          <w:sz w:val="18"/>
          <w:szCs w:val="18"/>
          <w:color w:val="auto"/>
        </w:rPr>
      </w:pPr>
    </w:p>
    <w:p>
      <w:pPr>
        <w:ind w:left="720" w:right="1039" w:hanging="319"/>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products or will provide us with any competitive advantages;</w:t>
      </w:r>
    </w:p>
    <w:p>
      <w:pPr>
        <w:spacing w:after="0" w:line="196" w:lineRule="exact"/>
        <w:rPr>
          <w:rFonts w:ascii="Arial" w:cs="Arial" w:eastAsia="Arial" w:hAnsi="Arial"/>
          <w:sz w:val="18"/>
          <w:szCs w:val="18"/>
          <w:color w:val="auto"/>
        </w:rPr>
      </w:pPr>
    </w:p>
    <w:p>
      <w:pPr>
        <w:ind w:left="720" w:right="399" w:hanging="319"/>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119"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25"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have a material adverse impact on our business.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inability to effectively protect our proprietary technologies could harm our competitive position.</w:t>
      </w:r>
    </w:p>
    <w:p>
      <w:pPr>
        <w:spacing w:after="0" w:line="234"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Although our competitors have utilized and are expected to continue utilizing technologies similar to ours, our success will depend upon our ability to protect and continue to develop proprietary technologies and products and to defend any advantages afforded to us relative to our competitors. If we do not protect our intellectual property adequately, competitors may be able to use our technologies and thereby erode any competitive advantages we may have. For example, patents for our core technology will begin to expire in the United States in 2024, and our patents outside of the United States are expected to remain in effect until between 2024 and 2035. We will be able to protect our proprietary rights from unauthorized use by third parties only to the extent that our proprietary technologies are covered by valid and enforceable patents or are effectively maintained as trade secrets. We have agreements with our employees and selected consultants that obligate them to assign their inventions to us. If the employees and consultants who are parties to these agreements breach or violate the terms of these agreements, including by refusing or being unavailable to sign assignments, oaths, declarations or other documents, we may not have adequate remedies for any such breach or violation, and we could lose our rights in inventions through such breaches or violations. Furthermore, it is possible that technology relevant to our business will be independently developed by a person that is not a party to such an agreement.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or product candidates are obtained, once the patent life has expired, we may be open to competition. Patents covering some of our core technology have expired or will expire within the next five years.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product candidates, our business and results of operations will be adversely affected.</w:t>
      </w:r>
    </w:p>
    <w:p>
      <w:pPr>
        <w:spacing w:after="0" w:line="18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could require us to spend significant time and money and could prevent us from selling our products.</w:t>
      </w:r>
    </w:p>
    <w:p>
      <w:pPr>
        <w:spacing w:after="0" w:line="176"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Our commercial success will depend in part on not infringing the patents or violating the other proprietary rights of others. We cannot assure you that our operations do not, or will not in the future, infringe existing or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future patents. Our activities may be subject to claims that we infringe or otherwise violate patents owned or controlled by third parties.</w:t>
      </w:r>
    </w:p>
    <w:p>
      <w:pPr>
        <w:spacing w:after="0" w:line="197"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w:t>
      </w:r>
    </w:p>
    <w:p>
      <w:pPr>
        <w:spacing w:after="0" w:line="21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product candidates.</w:t>
      </w:r>
    </w:p>
    <w:p>
      <w:pPr>
        <w:spacing w:after="0" w:line="20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Significant litigation regarding patent rights occurs in our industry. Third parties may, in the future, assert claims that we are employing their proprietary technology 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we expect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may become party to future adversarial proceedings regarding our patent portfolio or the patents of third parties. Such proceedings could include supplemental examination or contested post-grant proceedings such as review, reexamination, interference or derivation proceedings before the U.S. Patent and Trademark Office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regardless of the merit of the claims, and our adversaries in these proceedings may have the ability to dedicate substantially greater resources to prosecuting these legal actions than we can.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auto"/>
        </w:rPr>
        <w:t>Any lawsuits resulting from such allegations could subject us to significant liability for damages and invalidate our proprietary rights. Any potential intellectual property litigation also could force us to do one or more of the following:</w:t>
      </w:r>
    </w:p>
    <w:p>
      <w:pPr>
        <w:spacing w:after="0" w:line="203" w:lineRule="exact"/>
        <w:rPr>
          <w:sz w:val="20"/>
          <w:szCs w:val="20"/>
          <w:color w:val="auto"/>
        </w:rPr>
      </w:pPr>
    </w:p>
    <w:p>
      <w:pPr>
        <w:ind w:left="720" w:right="31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the asserted intellectual property;</w:t>
      </w:r>
    </w:p>
    <w:p>
      <w:pPr>
        <w:spacing w:after="0" w:line="196" w:lineRule="exact"/>
        <w:rPr>
          <w:rFonts w:ascii="Arial" w:cs="Arial" w:eastAsia="Arial" w:hAnsi="Arial"/>
          <w:sz w:val="18"/>
          <w:szCs w:val="18"/>
          <w:color w:val="auto"/>
        </w:rPr>
      </w:pPr>
    </w:p>
    <w:p>
      <w:pPr>
        <w:ind w:left="720" w:right="55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jc w:val="both"/>
        <w:ind w:left="720" w:right="99"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 including enhanced damages if we are found to have willfully infringed or misappropriated such rights;</w:t>
      </w:r>
    </w:p>
    <w:p>
      <w:pPr>
        <w:spacing w:after="0" w:line="202" w:lineRule="exact"/>
        <w:rPr>
          <w:rFonts w:ascii="Arial" w:cs="Arial" w:eastAsia="Arial" w:hAnsi="Arial"/>
          <w:sz w:val="18"/>
          <w:szCs w:val="18"/>
          <w:color w:val="auto"/>
        </w:rPr>
      </w:pPr>
    </w:p>
    <w:p>
      <w:pPr>
        <w:ind w:left="720" w:right="21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w:t>
      </w:r>
    </w:p>
    <w:p>
      <w:pPr>
        <w:spacing w:after="0" w:line="196" w:lineRule="exact"/>
        <w:rPr>
          <w:rFonts w:ascii="Arial" w:cs="Arial" w:eastAsia="Arial" w:hAnsi="Arial"/>
          <w:sz w:val="18"/>
          <w:szCs w:val="18"/>
          <w:color w:val="auto"/>
        </w:rPr>
      </w:pPr>
    </w:p>
    <w:p>
      <w:pPr>
        <w:ind w:left="720" w:right="11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which could be costly, disruptive and infeasible; and</w:t>
      </w:r>
    </w:p>
    <w:p>
      <w:pPr>
        <w:spacing w:after="0" w:line="196" w:lineRule="exact"/>
        <w:rPr>
          <w:rFonts w:ascii="Arial" w:cs="Arial" w:eastAsia="Arial" w:hAnsi="Arial"/>
          <w:sz w:val="18"/>
          <w:szCs w:val="18"/>
          <w:color w:val="auto"/>
        </w:rPr>
      </w:pPr>
    </w:p>
    <w:p>
      <w:pPr>
        <w:ind w:left="720" w:right="139"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203"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(which may be increased up to three times of awarded damages) and/or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21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 addition, we generally indemnify our customers and international distributors with respect to infringement by our products of the proprietary rights of third parties. Third parties may assert infringement claims against our customers or distributors. These claims may require us to initiate or defend protracted and costly litigation on behalf of our customers or distributors, regardless of the merits of these claims. If any of these claims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39"/>
        <w:spacing w:after="0" w:line="261" w:lineRule="auto"/>
        <w:rPr>
          <w:sz w:val="20"/>
          <w:szCs w:val="20"/>
          <w:color w:val="auto"/>
        </w:rPr>
      </w:pPr>
      <w:r>
        <w:rPr>
          <w:rFonts w:ascii="Arial" w:cs="Arial" w:eastAsia="Arial" w:hAnsi="Arial"/>
          <w:sz w:val="17"/>
          <w:szCs w:val="17"/>
          <w:color w:val="auto"/>
        </w:rPr>
        <w:t>succeed or settle, we may be forced to pay damages or settlement payments on behalf of our customers or distributors or may be required to obtain licenses for the products they use. If we cannot obtain all necessary licenses on commercially reasonable terms, our customers may be forced to stop using our products.</w:t>
      </w:r>
    </w:p>
    <w:p>
      <w:pPr>
        <w:spacing w:after="0" w:line="164"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could be harmed.</w:t>
      </w:r>
    </w:p>
    <w:p>
      <w:pPr>
        <w:spacing w:after="0" w:line="176"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In addition to patent protection, we also rely upon copyright and trade secret protection, unpatented know-how and continuing technological innovation to develop and maintain our competitive position, which we seek to protect through non-disclosure agreements and invention assignment agreements with our employees, consultants and third parties, to protect our confidential and proprietary information. In addition to contractual measures, we try to protect the confidential nature of our proprietary information using commonly accepted physical and technological security measures. Such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213"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addition, trade secrets may be independently developed by others in a manner that could prevent legal recourse by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our confidential or proprietary information, such as our trade secrets, were to be disclosed or misappropriated, or if any such information was independently developed by a competitor, our business and competitive position could be harmed.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enforce our intellectual property rights throughout the world.</w:t>
      </w:r>
    </w:p>
    <w:p>
      <w:pPr>
        <w:spacing w:after="0" w:line="234"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infringement of our foreign patents,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05"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w:t>
      </w:r>
    </w:p>
    <w:p>
      <w:pPr>
        <w:spacing w:after="0" w:line="20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As such, we do not know the degree of future protection that we will have on our technologies, products, and product candidates. While we will endeavor to try to protect our technologies, products, and product candidates with intellectual property rights such as patents, as appropriate, the process of obtaining patents is time-consuming, expensive and sometimes unpredictable.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Third parties may assert ownership or commercial rights to inventions we develop.</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Third parties may in the future make claims challenging the inventorship or ownership of our intellectual property, including studies we commission or reports on the efficacy of our products.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 and competitive position.</w:t>
      </w:r>
    </w:p>
    <w:p>
      <w:pPr>
        <w:spacing w:after="0" w:line="185"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patent rights may be affected by developments or uncertainty in the patent statute, patent case law or USPTO rules and regulations. There are a number of recent changes to the patent laws that may have a significant impact on our ability to protect our technology and enforce our intellectual property rights. For example, the United States has enacted and is currently implementing the America Invents Act of 2011, a wide-ranging patent reform legislation. These changes include provisions that affect the way patent applications will be prosecuted and may also affect patent litigation. As an example, the first to file provisions, which became effective March 2013, mean that the party that is first to file in the United States generally is awarded the patent rights, regardless of who invented first. This could have a negative impact on some of our IP and could increase uncertainties surrounding obtaining and enforcement or defense of our issued patents.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Patent and Trademark Office, the laws and regulations governing patents could change in unpredictable ways that would weaken our ability to obtain new patents or to enforce our existing patents or future patents.</w:t>
      </w:r>
    </w:p>
    <w:p>
      <w:pPr>
        <w:spacing w:after="0" w:line="181"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1"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license certain intellectual property, and in the future, we may enter into additional agreements that provide us with licenses to valuable intellectual property or technology. These licenses impose various payment obligations on us. If we fail to comply with any of these obligations, we may be required to pay damages and the licensor may have the right to terminate the license. Termination by the licensor could cause us to lose valuable rights, and could prevent us from distributing our products, or inhibit our ability to commercialize future products. Our business could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w:t>
      </w:r>
    </w:p>
    <w:p>
      <w:pPr>
        <w:spacing w:after="0" w:line="185"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7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203" w:lineRule="exact"/>
        <w:rPr>
          <w:sz w:val="20"/>
          <w:szCs w:val="20"/>
          <w:color w:val="auto"/>
        </w:rPr>
      </w:pPr>
    </w:p>
    <w:p>
      <w:pPr>
        <w:ind w:left="720" w:right="21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96" w:lineRule="exact"/>
        <w:rPr>
          <w:rFonts w:ascii="Arial" w:cs="Arial" w:eastAsia="Arial" w:hAnsi="Arial"/>
          <w:sz w:val="18"/>
          <w:szCs w:val="18"/>
          <w:color w:val="auto"/>
        </w:rPr>
      </w:pPr>
    </w:p>
    <w:p>
      <w:pPr>
        <w:jc w:val="both"/>
        <w:ind w:left="720" w:right="239" w:hanging="319"/>
        <w:spacing w:after="0" w:line="261"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external factors, such as a business combination that diverts resources or creates competing priorities;</w:t>
      </w:r>
    </w:p>
    <w:p>
      <w:pPr>
        <w:spacing w:after="0" w:line="212" w:lineRule="exact"/>
        <w:rPr>
          <w:sz w:val="20"/>
          <w:szCs w:val="20"/>
          <w:color w:val="auto"/>
        </w:rPr>
      </w:pPr>
    </w:p>
    <w:p>
      <w:pPr>
        <w:ind w:left="720" w:right="13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96" w:lineRule="exact"/>
        <w:rPr>
          <w:rFonts w:ascii="Arial" w:cs="Arial" w:eastAsia="Arial" w:hAnsi="Arial"/>
          <w:sz w:val="18"/>
          <w:szCs w:val="18"/>
          <w:color w:val="auto"/>
        </w:rPr>
      </w:pPr>
    </w:p>
    <w:p>
      <w:pPr>
        <w:ind w:left="720" w:right="33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96" w:lineRule="exact"/>
        <w:rPr>
          <w:rFonts w:ascii="Arial" w:cs="Arial" w:eastAsia="Arial" w:hAnsi="Arial"/>
          <w:sz w:val="18"/>
          <w:szCs w:val="18"/>
          <w:color w:val="auto"/>
        </w:rPr>
      </w:pPr>
    </w:p>
    <w:p>
      <w:pPr>
        <w:ind w:left="720" w:right="63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96" w:lineRule="exact"/>
        <w:rPr>
          <w:rFonts w:ascii="Arial" w:cs="Arial" w:eastAsia="Arial" w:hAnsi="Arial"/>
          <w:sz w:val="18"/>
          <w:szCs w:val="18"/>
          <w:color w:val="auto"/>
        </w:rPr>
      </w:pPr>
    </w:p>
    <w:p>
      <w:pPr>
        <w:ind w:left="720" w:right="239" w:hanging="319"/>
        <w:spacing w:after="0" w:line="23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04" w:lineRule="exact"/>
        <w:rPr>
          <w:rFonts w:ascii="Arial" w:cs="Arial" w:eastAsia="Arial" w:hAnsi="Arial"/>
          <w:sz w:val="18"/>
          <w:szCs w:val="18"/>
          <w:color w:val="auto"/>
        </w:rPr>
      </w:pPr>
    </w:p>
    <w:p>
      <w:pPr>
        <w:ind w:left="720" w:right="139"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202" w:lineRule="exact"/>
        <w:rPr>
          <w:rFonts w:ascii="Arial" w:cs="Arial" w:eastAsia="Arial" w:hAnsi="Arial"/>
          <w:sz w:val="18"/>
          <w:szCs w:val="18"/>
          <w:color w:val="auto"/>
        </w:rPr>
      </w:pPr>
    </w:p>
    <w:p>
      <w:pPr>
        <w:ind w:left="720" w:right="5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96" w:lineRule="exact"/>
        <w:rPr>
          <w:rFonts w:ascii="Arial" w:cs="Arial" w:eastAsia="Arial" w:hAnsi="Arial"/>
          <w:sz w:val="18"/>
          <w:szCs w:val="18"/>
          <w:color w:val="auto"/>
        </w:rPr>
      </w:pPr>
    </w:p>
    <w:p>
      <w:pPr>
        <w:ind w:left="720" w:right="619"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202" w:lineRule="exact"/>
        <w:rPr>
          <w:rFonts w:ascii="Arial" w:cs="Arial" w:eastAsia="Arial" w:hAnsi="Arial"/>
          <w:sz w:val="18"/>
          <w:szCs w:val="18"/>
          <w:color w:val="auto"/>
        </w:rPr>
      </w:pPr>
    </w:p>
    <w:p>
      <w:pPr>
        <w:ind w:left="720" w:right="65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5"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6"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Our trademarks or trade names may be challenged, infringed, circumvented or declared generic or descriptive. Our trademarks or trade names may be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2"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19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and our products are subject to extensive regulation in the United States and elsewhere, including by the FDA, FTC, and their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20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pass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spacing w:after="0" w:line="184"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b w:val="1"/>
          <w:bCs w:val="1"/>
          <w:i w:val="1"/>
          <w:iCs w:val="1"/>
          <w:color w:val="auto"/>
        </w:rPr>
        <w:t>We may not receive the necessary regulatory clearances or approvals to market our future products or other proposed indications for our products in the future, and failure to timely obtain necessary clearances or approvals for such future products or indications would adversely affect our ability to grow our business.</w:t>
      </w:r>
    </w:p>
    <w:p>
      <w:pPr>
        <w:spacing w:after="0" w:line="196"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 xml:space="preserve">An element of our strategy is to continue to upgrade our products, add new enhancements and features and expand clearance or approval of our current products to include new indications. In the United States, before we can market a new medical device, or a new use of, new claim for or significant modification to an existing product, we must first receive either clearance under Section 510(k) of the Federal Food, Drug and Cosmetic Act or approval of a premarket approval application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Our ability to successfully obtain clearance for any new indications will be dependent on us submitting data as to the successful completion of clinical trials evidencing safety and efficacy.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procedure, which allows a manufacturer whose novel device would otherwise require the submission and approval of a PMA prior to marketing to request down-classification of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 xml:space="preserve">the device on the basis that the device presents low or moderate risk. If the FDA agrees with the down-classification request, the applicant will then receive authorization to market the device. This device type can then be used as a predicate device for future 510(k) submissions. We initially received marketing authorization of our device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and we have made changes to our system through subsequent 510(k) clearances. Competitors may seek 510(k) clearance of similar products with similar indications and use our de novo classification as a predicate device in their submission. The process of obtaining regulatory clearances or approvals, or completing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market a medical device can be costly and time consuming, and we may not be able to successfully obtain pre-market reviews on a timely basis, if at all.</w:t>
      </w:r>
    </w:p>
    <w:p>
      <w:pPr>
        <w:spacing w:after="0" w:line="207"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The FDA can delay, limit or deny clearance or approval of a device for many reasons, including: we may be unable to demonstrate to the FDA’s satisfaction that the product or modification is substantially equivalent to the proposed predicate device or safe and effective for its intended use; the data from our pre-clinical studies and clinical trials may be insufficient to support clearance or approval, where required; and the manufacturing process or facilities we use may not meet applicable requirements. The FDA may also, instead of accepting a 510(k) submission, require us to submit a PMA, which is typically a much more complex, lengthy, and burdensome application than a 510(k) submission. To support a PMA, the FDA would likely require that we conduct one or more clinical studies to demonstrate that the device is safe and effective. In some cases, such studies may be requested for a 510(k) as well. We may not be able to meet the requirements to obtain 510(k) clearance or PMA approval (or a de novo classification request), in which case the FDA may not grant any necessary clearances or approvals. In addition, the FDA may place significant limitations upon the intended uses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 of new products we develop, any limitations imposed by the FDA on new product use or the costs of obtaining FDA clearance or approvals could have a material adverse effect on our business, financial condition, and results of operations.</w:t>
      </w:r>
    </w:p>
    <w:p>
      <w:pPr>
        <w:spacing w:after="0" w:line="19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 xml:space="preserve">Even if granted, a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PMA approval imposes substantial restrictions on how our devices may be marketed or sold, and the FDA continues to place considerable restrictions on our products and operations. For example, the manufacture of medical devices must comply with the FDA’s Quality System Regulation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restrictions.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 untitled letters, warning letters, fines, injunctions, consent decrees and civil penalties; customer notifications or repair, replacement, refunds, recalls, detention or seizure of our products; operating restrictions or partial suspension or total shutdown of production; refusing or delaying requests for 510(k) marketing clearance or PMA approvals of new products or modified products; withdrawing</w:t>
      </w:r>
    </w:p>
    <w:p>
      <w:pPr>
        <w:spacing w:after="0" w:line="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510(k) marketing clearances or PMA approvals that have already been granted; refusing to provide Certificates for Foreign Government; refusing to grant export approval for our products; or pursuing criminal prosecution. Any of these sanctions could impair our ability to produce or commercialize our products in a cost-effective and timely manner in order to meet our customers’ demands and could have a material adverse effect on our reputation, business, results of operations and financial condition. We may also be required to bear other regulatory compliance costs or take other actions that may have a negative impact on our sales and our ability to generate profits.</w:t>
      </w:r>
    </w:p>
    <w:p>
      <w:pPr>
        <w:spacing w:after="0" w:line="203" w:lineRule="exact"/>
        <w:rPr>
          <w:sz w:val="20"/>
          <w:szCs w:val="20"/>
          <w:color w:val="auto"/>
        </w:rPr>
      </w:pPr>
    </w:p>
    <w:p>
      <w:pPr>
        <w:ind w:left="60" w:right="259"/>
        <w:spacing w:after="0" w:line="257" w:lineRule="auto"/>
        <w:rPr>
          <w:sz w:val="20"/>
          <w:szCs w:val="20"/>
          <w:color w:val="auto"/>
        </w:rPr>
      </w:pPr>
      <w:r>
        <w:rPr>
          <w:rFonts w:ascii="Arial" w:cs="Arial" w:eastAsia="Arial" w:hAnsi="Arial"/>
          <w:sz w:val="17"/>
          <w:szCs w:val="17"/>
          <w:color w:val="auto"/>
        </w:rPr>
        <w:t>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marketed products on a timely basis. Such policy or regulatory changes could impose additional requirements upon us that could delay our 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to obtain new 510(k) clearances, increase the costs of compliance or restrict our ability to maintain our current clearances. We also cannot predict the likelihood, nature or extent of government regulation that may arise from future legislation or administrative or executive action, either in the United States or abroad, especially with a new administration that may have different policy priorities than the previous one.</w:t>
      </w:r>
    </w:p>
    <w:p>
      <w:pPr>
        <w:spacing w:after="0" w:line="20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order to sell our products in member countries of the European Economic Area, or (EEA) or in countries that also rely on the CE Mark outside the EEA, our products must comply with the essential requirements of the EU Medical Devices Directive (Council Directive 93/42/EEC), and with the Medical Device Regulation (Regulation 2017/745). Compliance with these requirements is a prerequisite to be able to affix the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21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we would be unable to continue to affix the CE Mark to our surgical systems, which would prevent us from selling them within the EEA and may have an impact on our marketing authorization in other countries.</w:t>
      </w:r>
    </w:p>
    <w:p>
      <w:pPr>
        <w:spacing w:after="0" w:line="20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or our distributors will also need to obtain or retain regulatory approval in other foreign jurisdictions in which we plan to or currently do market and sell our products, and we or they may not obtain such approvals as necessary to commercialize our products in those territories. Regulatory marketing authorizations in these foreign jurisdictions typically require device testing, conformance to classification requirements, pre-market requests to authorize commercialization, and in some cases inspections.</w:t>
      </w:r>
    </w:p>
    <w:p>
      <w:pPr>
        <w:spacing w:after="0" w:line="180"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de novo classification, or PMA approvals, and may require us to cease marketing or recall the modified products until clearances or approvals are obtained.</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Any modification to a 510(k)-cleared product that could significantly affect its safety or effectiveness, or that would constitute a major change in its intended use, design or manufacture, requires a new 510(k) clearance or de novo classification, or, possibly, approval of a PMA. Modifications to products that have been approved through the PMA process generally require premarket FDA approval. Similarly, certain modifications made to products cleared through a 510(k) or authorized through the de novo classification process may require a new 510(k) clearance. Each of the PMA, de novo classification, and the 510(k) clearance processes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application is filed with the FDA. In addition, a PMA generally requires the performance of one or more clinical trials.</w:t>
      </w:r>
    </w:p>
    <w:p>
      <w:pPr>
        <w:spacing w:after="0" w:line="197"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Despite the time, effort, and cost, a device may not be approved or cleared by the FDA. Any delay or failure to obtain necessary regulatory authorizations could harm our business. Furthermore, even if we are granted regulatory authorizations, they may include significant limitations on the indicated uses for the device, which may limit the market for the device.</w:t>
      </w:r>
    </w:p>
    <w:p>
      <w:pPr>
        <w:spacing w:after="0" w:line="20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Any modifications to our existing products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202"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 xml:space="preserve">The FDA requires every manufacturer to make this modification determination in the first instance, but the FDA may review any manufacturer’s decision. The FDA may not agree with our decisions regarding whether new clearances or approvals are necessary. We have made modifications to our products in the past and have determined based on our review of the applicable FDA regulations and guidance that in certain instances new 510(k) clearances were not required. We may make similar modifications or add additional enhancements or features in the future that we believe do not require a new 510(k) clearance or approval of a PMA. If the FDA disagrees with our determination and requires us to submit new 510(k) notifications,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classifications, or PMAs for modifications to our previously authorized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w:t>
      </w:r>
    </w:p>
    <w:p>
      <w:pPr>
        <w:spacing w:after="0" w:line="19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and state regulations, and we could be forced to recall our installed systems or terminate production if we fail to comply with these regulations.</w:t>
      </w:r>
    </w:p>
    <w:p>
      <w:pPr>
        <w:spacing w:after="0" w:line="191" w:lineRule="exact"/>
        <w:rPr>
          <w:sz w:val="20"/>
          <w:szCs w:val="20"/>
          <w:color w:val="auto"/>
        </w:rPr>
      </w:pPr>
    </w:p>
    <w:p>
      <w:pPr>
        <w:ind w:left="60" w:right="239"/>
        <w:spacing w:after="0" w:line="251" w:lineRule="auto"/>
        <w:rPr>
          <w:sz w:val="20"/>
          <w:szCs w:val="20"/>
          <w:color w:val="auto"/>
        </w:rPr>
      </w:pPr>
      <w:r>
        <w:rPr>
          <w:rFonts w:ascii="Arial" w:cs="Arial" w:eastAsia="Arial" w:hAnsi="Arial"/>
          <w:sz w:val="17"/>
          <w:szCs w:val="17"/>
          <w:color w:val="auto"/>
        </w:rPr>
        <w:t>The methods used in, and the facilities used for, the manufacture of our products must comply with the FDA’s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Compliance with the QSR is necessary to receive FDA clearance or approval to market new products and is necessary for a manufacturer to be able to continue to market cleared or approved devices in the United States.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Foreign regulatory authorities also impose manufacturing quality requirements, which may differ from the FDA requirements, with which we must comply.</w:t>
      </w:r>
    </w:p>
    <w:p>
      <w:pPr>
        <w:spacing w:after="0" w:line="19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or our third-party suppliers and manufacturers may not take the necessary steps to comply with applicable regulations, which could cause delays in the delivery of our products. In addition, failure to comply with applicable FDA or foreign jurisdiction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for our products;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79"/>
        <w:spacing w:after="0" w:line="246" w:lineRule="auto"/>
        <w:rPr>
          <w:sz w:val="20"/>
          <w:szCs w:val="20"/>
          <w:color w:val="auto"/>
        </w:rPr>
      </w:pPr>
      <w:r>
        <w:rPr>
          <w:rFonts w:ascii="Arial" w:cs="Arial" w:eastAsia="Arial" w:hAnsi="Arial"/>
          <w:sz w:val="18"/>
          <w:szCs w:val="18"/>
          <w:color w:val="auto"/>
        </w:rPr>
        <w:t>clinical holds; refusal to permit the import or export of our products; and criminal prosecution of us or our employees.</w:t>
      </w:r>
    </w:p>
    <w:p>
      <w:pPr>
        <w:spacing w:after="0" w:line="197" w:lineRule="exact"/>
        <w:rPr>
          <w:sz w:val="20"/>
          <w:szCs w:val="20"/>
          <w:color w:val="auto"/>
        </w:rPr>
      </w:pPr>
    </w:p>
    <w:p>
      <w:pPr>
        <w:jc w:val="both"/>
        <w:ind w:left="60" w:right="459"/>
        <w:spacing w:after="0"/>
        <w:rPr>
          <w:sz w:val="20"/>
          <w:szCs w:val="20"/>
          <w:color w:val="auto"/>
        </w:rPr>
      </w:pPr>
      <w:r>
        <w:rPr>
          <w:rFonts w:ascii="Arial" w:cs="Arial" w:eastAsia="Arial" w:hAnsi="Arial"/>
          <w:sz w:val="18"/>
          <w:szCs w:val="18"/>
          <w:color w:val="auto"/>
        </w:rPr>
        <w:t>Any of these actions could significantly and negatively impact supply of our products. If any of these events occurs, our reputation could be harmed, we could be exposed to product liability claims and we could lose customers and suffer reduced revenues and increased costs.</w:t>
      </w:r>
    </w:p>
    <w:p>
      <w:pPr>
        <w:spacing w:after="0" w:line="181"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b w:val="1"/>
          <w:bCs w:val="1"/>
          <w:i w:val="1"/>
          <w:iCs w:val="1"/>
          <w:color w:val="auto"/>
        </w:rPr>
        <w:t>If treatment guidelines for the clinical conditions we are targeting change or the standard of care evolves, we may need to redesign and seek new marketing authorization from the FDA for one or more of our products.</w:t>
      </w:r>
    </w:p>
    <w:p>
      <w:pPr>
        <w:spacing w:after="0" w:line="19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 xml:space="preserve">If treatment guidelines for the clinical conditions we are targeting or the standard of care for such conditions evolves, we may need to redesign the applicable product and seek new clearances or approvals from the FDA. Our existing 510(k) and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clearances from the FDA are based on current treatment guidelines. If treatment guidelines change so that different treatments become desirable, the clinical utility of one or more of our products could be diminished and our business could suffer.</w:t>
      </w:r>
    </w:p>
    <w:p>
      <w:pPr>
        <w:spacing w:after="0" w:line="18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particularly if we are deemed to have engaged in the promotion of these uses, any of which could be costly to our business.</w:t>
      </w:r>
    </w:p>
    <w:p>
      <w:pPr>
        <w:spacing w:after="0" w:line="19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Our product has been authorized for marketing by the FDA for a specific indication. We train our commercial organization and distributors inside and outside the United States to not promote our products for uses outside of the FDA-cleared indications for use, known as “off-label uses.” However, we cannot guarantee that all of our employees, representatives, and agents will abide by our marketing policies.</w:t>
      </w:r>
    </w:p>
    <w:p>
      <w:pPr>
        <w:spacing w:after="0" w:line="205"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If the FDA or any foreign regulatory body determines that our promotional materials, training, or other marketing activities constitute promotion of an off-label or unapproved use, it could request that we modify our training or promotional materials or subject us to regulatory or enforcement actions, including the issuance or imposition of an untitled letter, which is used for violations that do not necessitate a warning letter, injunction, seizure, civil fine or criminal penalties. It is also possible that other federal, state or foreign enforcement authorities might take action under other regulatory authority, such as laws prohibiting false claims for reimbursement.</w:t>
      </w:r>
    </w:p>
    <w:p>
      <w:pPr>
        <w:spacing w:after="0" w:line="19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Moreover, even if we, and all our employees, contractors, and agents, market our products in compliance with applicable FDA regulations, such regulations do not apply to the practice of medicine, and we cannot prevent a physician from prescribing and/or using our products off-label when, in the physician’s independent professional medical judgment, he or she deems it appropriate. Similarly, we cannot prevent patients from using our products off-label. There may be increased risk of injury to patients if physicians attempt to prescribe, or patients attempt to use, our products off-label. Furthermore, the use of our products for indications other than those authorized by the FDA may not effectively treat such conditions, which could harm our reputation in the marketplace among physicians and patients. There are similar risks if our products are used off-label with respect to non-U.S. regulatory approvals.</w:t>
      </w:r>
    </w:p>
    <w:p>
      <w:pPr>
        <w:spacing w:after="0" w:line="18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98" w:lineRule="exact"/>
        <w:rPr>
          <w:sz w:val="20"/>
          <w:szCs w:val="20"/>
          <w:color w:val="auto"/>
        </w:rPr>
      </w:pPr>
    </w:p>
    <w:p>
      <w:pPr>
        <w:jc w:val="both"/>
        <w:ind w:left="60" w:right="199"/>
        <w:spacing w:after="0"/>
        <w:rPr>
          <w:sz w:val="20"/>
          <w:szCs w:val="20"/>
          <w:color w:val="auto"/>
        </w:rPr>
      </w:pPr>
      <w:r>
        <w:rPr>
          <w:rFonts w:ascii="Arial" w:cs="Arial" w:eastAsia="Arial" w:hAnsi="Arial"/>
          <w:sz w:val="18"/>
          <w:szCs w:val="18"/>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207"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If we initiate a correction or removal for one of our devices to reduce a risk to health posed by the device, we would be required to submit a publicly available Correction and Removal report or Safety Alert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could be used by competitors against us in competitive situations and cause customers to delay purchase decisions or cancel orders and would harm our reputation.</w:t>
      </w:r>
    </w:p>
    <w:p>
      <w:pPr>
        <w:spacing w:after="0" w:line="21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20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to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20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Any adverse event involving our products could result in voluntary corrective actions, such as recalls or customer notifications, or agency action, such as inspection, mandatory recall or other enforcement action. Any corrective action, whether voluntary or involuntary, as well as exposing us to private litigation, would require the dedication of our time and capital, distract management from operating our business and may harm our reputation and financial results.</w:t>
      </w:r>
    </w:p>
    <w:p>
      <w:pPr>
        <w:spacing w:after="0" w:line="180"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b w:val="1"/>
          <w:bCs w:val="1"/>
          <w:i w:val="1"/>
          <w:iCs w:val="1"/>
          <w:color w:val="auto"/>
        </w:rPr>
        <w:t>If we or our distributors do not obtain and maintain international regulatory registrations or approvals for our products, we will be unable to market and sell our products outside of the United States.</w:t>
      </w:r>
    </w:p>
    <w:p>
      <w:pPr>
        <w:spacing w:after="0" w:line="15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or our distributors obtain the approval of a specified regulatory body. Complying with foreign regulatory requirements, including obtaining registrations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approvals, can be expensive and time-consuming, and we or our distributors may not receive regulatory approvals in each country in which we plan to market our products or we may be unable to do so on a timely basis. The time required to obtain registrations or approvals, if required by other countries, may be longer than that required for FDA clearance or approval, and requirements for such registrations, clearances or approvals may significantly differ from FDA requirements. If we modify our products,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spacing w:after="0" w:line="207"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Regulatory clearance or approval by the FDA and/or the permission to affix the CE Mark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8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b w:val="1"/>
          <w:bCs w:val="1"/>
          <w:i w:val="1"/>
          <w:iCs w:val="1"/>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patients and third-party payors are subject to scrutiny under these laws. We may also be subject to patient information privacy and security regulation by both the federal government in addition to the states and foreign jurisdictions in which we conduct our business. The healthcare laws and regulations that may affect our ability to operate include:</w:t>
      </w:r>
    </w:p>
    <w:p>
      <w:pPr>
        <w:spacing w:after="0" w:line="205" w:lineRule="exact"/>
        <w:rPr>
          <w:sz w:val="20"/>
          <w:szCs w:val="20"/>
          <w:color w:val="auto"/>
        </w:rPr>
      </w:pPr>
    </w:p>
    <w:p>
      <w:pPr>
        <w:ind w:left="720" w:right="99" w:hanging="319"/>
        <w:spacing w:after="0" w:line="235"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(“FCA”), as described in more detail below.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and in order to obtain protection from a safe harbor the entities involved must meet every element. Accordingly, industry practices that involve providing remuneration to those who prescribe, purchase, or recommend medical device products, including discounts, or engaging individuals as speakers, consultants, or advisors, may be subject to scrutiny if they do not fit squarely within an exception or a safe harbor. It is possible that not all our practices may not meet all of the criteria for safe harbor protection from anti-kickback liability. Moreover, there are no safe harbors for many common practices, such as reimbursement support programs, educational or research grants, or charitable donations;</w:t>
      </w:r>
    </w:p>
    <w:p>
      <w:pPr>
        <w:spacing w:after="0" w:line="212" w:lineRule="exact"/>
        <w:rPr>
          <w:rFonts w:ascii="Arial" w:cs="Arial" w:eastAsia="Arial" w:hAnsi="Arial"/>
          <w:sz w:val="18"/>
          <w:szCs w:val="18"/>
          <w:color w:val="auto"/>
        </w:rPr>
      </w:pPr>
    </w:p>
    <w:p>
      <w:pPr>
        <w:ind w:left="720" w:right="139" w:hanging="319"/>
        <w:spacing w:after="0" w:line="23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such as the FCA, which can be enforced by private citizens through civil qui tam actions, prohibits individuals or entities from, among other things, knowingly presenting, or causing to be presented, false, fictitious or fraudulent claims for payment of federal funds, and knowingly making, using or causing to be made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99"/>
        <w:spacing w:after="0" w:line="235" w:lineRule="auto"/>
        <w:rPr>
          <w:sz w:val="20"/>
          <w:szCs w:val="20"/>
          <w:color w:val="auto"/>
        </w:rPr>
      </w:pPr>
      <w:r>
        <w:rPr>
          <w:rFonts w:ascii="Arial" w:cs="Arial" w:eastAsia="Arial" w:hAnsi="Arial"/>
          <w:sz w:val="18"/>
          <w:szCs w:val="18"/>
          <w:color w:val="auto"/>
        </w:rPr>
        <w:t xml:space="preserve">or used a false record or statement material to a false or fraudulent claim to avoid, decrease or conceal an obligation to pay money to the federal government. The Social Security Act also has a provision that provides for the imposition of civil monetary penalties against any person who offers or transfers remuneration to a Medicare or Medicaid beneficiary that such person knows or should know is likely to influence the beneficiary’s selection of a particular provider, practitioner, or supplier for the order or receipt of any item or service payable by a federal health care program, known as beneficiary inducement. Whistleblowers can bring FCA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on behalf of the government and themselves, and may share in amounts paid by the entity to the government in recovery or settlement. FCA liability can be potentially significant in the healthcare industry because the statute provides for treble damages and mandatory penalties of $11,803 to $23,607 per false or fraudulent claim or statement. Many pharmaceutical and medical device manufacturers have been investigated and have reached substantial settlements under the FCA in connection with alleged off label promotion of their products, providing improper renumeration to healthcare providers or other personnel involved in recommending products, and allegedly providing free products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As a result of a modification made by the Fraud Enforcement and Recovery Act of 2009, a claim includes “any request or demand” for money or property presented to the U.S. government. Thus, medical device manufacturers can be held liable under the FCA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p>
      <w:pPr>
        <w:spacing w:after="0" w:line="212" w:lineRule="exact"/>
        <w:rPr>
          <w:sz w:val="20"/>
          <w:szCs w:val="20"/>
          <w:color w:val="auto"/>
        </w:rPr>
      </w:pPr>
    </w:p>
    <w:p>
      <w:pPr>
        <w:ind w:left="720" w:right="179" w:hanging="319"/>
        <w:spacing w:after="0" w:line="23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among other regulatory requirements described below, also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or to have committed a violation;</w:t>
      </w:r>
    </w:p>
    <w:p>
      <w:pPr>
        <w:spacing w:after="0" w:line="204" w:lineRule="exact"/>
        <w:rPr>
          <w:rFonts w:ascii="Arial" w:cs="Arial" w:eastAsia="Arial" w:hAnsi="Arial"/>
          <w:sz w:val="18"/>
          <w:szCs w:val="18"/>
          <w:color w:val="auto"/>
        </w:rPr>
      </w:pPr>
    </w:p>
    <w:p>
      <w:pPr>
        <w:ind w:left="720" w:right="79" w:hanging="319"/>
        <w:spacing w:after="0" w:line="23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as amended by HITECH, and their implementing regulations, which imposes privacy, security, transmission and breach reporting obligations with respect to individually identifiable health information upon “covered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laws and seek attorneys’ fees and costs associated with pursuing federal civil actions. On December 10, 2020, the U.S. Department of Health and Human Services Office for Civil Rights issued a Notice of Proposed Rulemaking, which if finalized, would make changes to some of HIPAA’s regulatory requirements, which would apply to business associates;</w:t>
      </w:r>
    </w:p>
    <w:p>
      <w:pPr>
        <w:spacing w:after="0" w:line="204" w:lineRule="exact"/>
        <w:rPr>
          <w:rFonts w:ascii="Arial" w:cs="Arial" w:eastAsia="Arial" w:hAnsi="Arial"/>
          <w:sz w:val="18"/>
          <w:szCs w:val="18"/>
          <w:color w:val="auto"/>
        </w:rPr>
      </w:pPr>
    </w:p>
    <w:p>
      <w:pPr>
        <w:ind w:left="720" w:right="179" w:hanging="319"/>
        <w:spacing w:after="0" w:line="23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PPACA, which requires, among other things, certain manufacturers of drugs, devices, biologics and medical supplies reimbursed under Medicare, Medicaid, or the Children’s Health Insurance Program (with certain exceptions) to report annually to the United States Department of Health and Human Services, Centers for Medicare and Medicare Services, or CMS, information related to payments or other transfers of value made to</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579"/>
        <w:spacing w:after="0" w:line="238" w:lineRule="auto"/>
        <w:rPr>
          <w:sz w:val="20"/>
          <w:szCs w:val="20"/>
          <w:color w:val="auto"/>
        </w:rPr>
      </w:pPr>
      <w:r>
        <w:rPr>
          <w:rFonts w:ascii="Arial" w:cs="Arial" w:eastAsia="Arial" w:hAnsi="Arial"/>
          <w:sz w:val="18"/>
          <w:szCs w:val="18"/>
          <w:color w:val="auto"/>
        </w:rPr>
        <w:t>physicians (defined to include doctors, dentists, optometrists, podiatrists, chiropractors, physician assistants, nurse practitioners, clinical nurse specialists, certified nurse anesthetists, and certified nurse-midwives) and teaching hospitals, as well as ownership and investment interests held by physicians and their immediate family members; and</w:t>
      </w:r>
    </w:p>
    <w:p>
      <w:pPr>
        <w:spacing w:after="0" w:line="205" w:lineRule="exact"/>
        <w:rPr>
          <w:sz w:val="20"/>
          <w:szCs w:val="20"/>
          <w:color w:val="auto"/>
        </w:rPr>
      </w:pPr>
    </w:p>
    <w:p>
      <w:pPr>
        <w:ind w:left="720" w:right="79" w:hanging="319"/>
        <w:spacing w:after="0" w:line="235"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21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These laws and regulations, among other impacts, constrain our business, marketing and other promotional activities by limiting the kinds of financial arrangements, including sales programs, we may have with psychiatrists, other healthcare provides, or other potential purchasers of our products. We have also entered into consulting agreements with physicians, which are subject to these laws. Further, while we do not submit claims to any payor and our customers make the ultimate decision on how to submit claims, we may provide reimbursement guidance and support regarding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207"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To enforce compliance with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Any such investigation or settlement could increase our costs or otherwise have an adverse effect on our business. Even an unsuccessful challenge or investigation into our practices could cause adverse publicity and be costly to respond to.</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disgorgement, exclusion from participation in government healthcare programs, such as Medicare and Medicaid, imprisonment, additional reporting obligations and oversight if we becomes subject to a corporate integrity agreement or other agreement to resolve allegations of non-compliance with these laws, reputational harm, diminished profits and future earnings, and the curtailment or restructuring of our operations, any of which could adversely affect our ability to operate our business and pursue our strategy.</w:t>
      </w:r>
    </w:p>
    <w:p>
      <w:pPr>
        <w:spacing w:after="0" w:line="18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176"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From time to time, Congress drafts legislation that could significantly change the statutory provisions governing the regulation of medical devices. In addition, FDA regulations and guidance are often revised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reinterpreted by the FDA in ways that may significantly affect our business and our products. Any new statutes, regulations, revisions, or reinterpretations of existing regulations may impose additional costs,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w:t>
      </w:r>
    </w:p>
    <w:p>
      <w:pPr>
        <w:spacing w:after="0" w:line="20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For example, in March 2010, the PPACA was enacted in the United States, which made a number of substantial changes in the way healthcare is financed by both governmental and private insurers. Among other ways in which it may impact our business, the PPACA:</w:t>
      </w:r>
    </w:p>
    <w:p>
      <w:pPr>
        <w:spacing w:after="0" w:line="203" w:lineRule="exact"/>
        <w:rPr>
          <w:sz w:val="20"/>
          <w:szCs w:val="20"/>
          <w:color w:val="auto"/>
        </w:rPr>
      </w:pPr>
    </w:p>
    <w:p>
      <w:pPr>
        <w:ind w:left="720" w:right="29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effectiveness research in an effort to coordinate and develop such research;</w:t>
      </w:r>
    </w:p>
    <w:p>
      <w:pPr>
        <w:spacing w:after="0" w:line="196" w:lineRule="exact"/>
        <w:rPr>
          <w:rFonts w:ascii="Arial" w:cs="Arial" w:eastAsia="Arial" w:hAnsi="Arial"/>
          <w:sz w:val="18"/>
          <w:szCs w:val="18"/>
          <w:color w:val="auto"/>
        </w:rPr>
      </w:pPr>
    </w:p>
    <w:p>
      <w:pPr>
        <w:jc w:val="both"/>
        <w:ind w:left="720" w:right="739"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implements payment system reforms including a national pilot program on payment bundling to encourage hospitals, psychiatrists and other providers to improve the coordination, quality and efficiency of certain healthcare services through bundled payment models;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2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81"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b w:val="1"/>
          <w:bCs w:val="1"/>
          <w:i w:val="1"/>
          <w:iCs w:val="1"/>
          <w:color w:val="auto"/>
        </w:rPr>
        <w:t>Our employees, distributors, and other third parties may engage in misconduct or other improper activities, including noncompliance with regulatory standards and requirements</w:t>
      </w:r>
      <w:r>
        <w:rPr>
          <w:rFonts w:ascii="Arial" w:cs="Arial" w:eastAsia="Arial" w:hAnsi="Arial"/>
          <w:sz w:val="18"/>
          <w:szCs w:val="18"/>
          <w:color w:val="auto"/>
        </w:rPr>
        <w:t>.</w:t>
      </w:r>
    </w:p>
    <w:p>
      <w:pPr>
        <w:spacing w:after="0" w:line="176"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are exposed to the risk that our employees, distributors, and other third parties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as described herein.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Efforts to ensure that the activities of these parties will comply with applicable healthcare laws and regulations involve substantial costs.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becomes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12"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commercial operations, develop and commercialize new products and expand our operations.</w:t>
      </w:r>
    </w:p>
    <w:p>
      <w:pPr>
        <w:spacing w:after="0" w:line="176"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If our available cash balances, potential future borrowing capacity, and anticipated cash flow from operations are insufficient to satisfy our liquidity requirements, including because of lower demand for our products as a result of the risks described in this Annual Report on Form 10-K, we may seek to sell common or preferred equity or debt securities, enter into an additional credit facility or another form of third-party funding or seek other debt financing. Our present and future funding requirements will depend on many other factors, including:</w:t>
      </w:r>
    </w:p>
    <w:p>
      <w:pPr>
        <w:spacing w:after="0" w:line="190"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225" w:lineRule="exact"/>
        <w:rPr>
          <w:rFonts w:ascii="Arial" w:cs="Arial" w:eastAsia="Arial" w:hAnsi="Arial"/>
          <w:sz w:val="18"/>
          <w:szCs w:val="18"/>
          <w:color w:val="auto"/>
        </w:rPr>
      </w:pPr>
    </w:p>
    <w:p>
      <w:pPr>
        <w:ind w:left="720" w:right="13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w:t>
      </w:r>
    </w:p>
    <w:p>
      <w:pPr>
        <w:spacing w:after="0" w:line="196" w:lineRule="exact"/>
        <w:rPr>
          <w:rFonts w:ascii="Arial" w:cs="Arial" w:eastAsia="Arial" w:hAnsi="Arial"/>
          <w:sz w:val="18"/>
          <w:szCs w:val="18"/>
          <w:color w:val="auto"/>
        </w:rPr>
      </w:pPr>
    </w:p>
    <w:p>
      <w:pPr>
        <w:ind w:left="720" w:right="53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 particularly in Japan;</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225" w:lineRule="exact"/>
        <w:rPr>
          <w:rFonts w:ascii="Arial" w:cs="Arial" w:eastAsia="Arial" w:hAnsi="Arial"/>
          <w:sz w:val="18"/>
          <w:szCs w:val="18"/>
          <w:color w:val="auto"/>
        </w:rPr>
      </w:pPr>
    </w:p>
    <w:p>
      <w:pPr>
        <w:ind w:left="720" w:right="51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96" w:lineRule="exact"/>
        <w:rPr>
          <w:rFonts w:ascii="Arial" w:cs="Arial" w:eastAsia="Arial" w:hAnsi="Arial"/>
          <w:sz w:val="18"/>
          <w:szCs w:val="18"/>
          <w:color w:val="auto"/>
        </w:rPr>
      </w:pPr>
    </w:p>
    <w:p>
      <w:pPr>
        <w:ind w:left="720" w:right="71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225" w:lineRule="exact"/>
        <w:rPr>
          <w:rFonts w:ascii="Arial" w:cs="Arial" w:eastAsia="Arial" w:hAnsi="Arial"/>
          <w:sz w:val="18"/>
          <w:szCs w:val="18"/>
          <w:color w:val="auto"/>
        </w:rPr>
      </w:pPr>
    </w:p>
    <w:p>
      <w:pPr>
        <w:ind w:left="720" w:right="83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97"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97" w:lineRule="exact"/>
        <w:rPr>
          <w:sz w:val="20"/>
          <w:szCs w:val="20"/>
          <w:color w:val="auto"/>
        </w:rPr>
      </w:pPr>
    </w:p>
    <w:p>
      <w:pPr>
        <w:ind w:left="720" w:right="61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our sales and marketing efforts to increase market adoption of our products and address competitive developments;</w:t>
      </w:r>
    </w:p>
    <w:p>
      <w:pPr>
        <w:spacing w:after="0" w:line="196" w:lineRule="exact"/>
        <w:rPr>
          <w:rFonts w:ascii="Arial" w:cs="Arial" w:eastAsia="Arial" w:hAnsi="Arial"/>
          <w:sz w:val="18"/>
          <w:szCs w:val="18"/>
          <w:color w:val="auto"/>
        </w:rPr>
      </w:pPr>
    </w:p>
    <w:p>
      <w:pPr>
        <w:ind w:left="720" w:right="3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 development and marketing efforts of any future products or additional features to then-current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license or invest in new technologies;</w:t>
      </w:r>
    </w:p>
    <w:p>
      <w:pPr>
        <w:spacing w:after="0" w:line="225" w:lineRule="exact"/>
        <w:rPr>
          <w:rFonts w:ascii="Arial" w:cs="Arial" w:eastAsia="Arial" w:hAnsi="Arial"/>
          <w:sz w:val="18"/>
          <w:szCs w:val="18"/>
          <w:color w:val="auto"/>
        </w:rPr>
      </w:pPr>
    </w:p>
    <w:p>
      <w:pPr>
        <w:ind w:left="720" w:right="39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supply and inventory costs associated with plans to accommodate potential increases in demand for our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Additional capital may not be available to us at such times or in the amounts we need. Even if capital is available, it might be available only on unfavorable terms. Any issuance of additional equity or equity-linked securities could be dilutive to our existing stockholders, and any new equity securities could have rights, preferences and privileges superior to those of holders of our common stock, including the shares of common stock sold in this offering. Debt financing, if available, may involve covenants restricting our operations or our ability to incur additional debt, pay dividends, repurchase our stock, make investments and engage in merger, consolidation or asset sale transactions. If we raise additional funds through collaboration and licensing arrangements with third parties, it may be necessary to relinquish or license some rights to our technologies or products, on terms that are not favorable to us. If access to sufficient capital is not available as and when needed, our business will be materially impaired and we may be required to cease operations, curtail one or more product development or commercialization programs, significantly reduce expenses, sell assets, seek a merger or joint venture partner, file for protection from creditors or liquidate all our assets.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234" w:lineRule="exact"/>
        <w:rPr>
          <w:sz w:val="20"/>
          <w:szCs w:val="20"/>
          <w:color w:val="auto"/>
        </w:rPr>
      </w:pPr>
    </w:p>
    <w:p>
      <w:pPr>
        <w:ind w:left="60" w:right="179"/>
        <w:spacing w:after="0" w:line="250" w:lineRule="auto"/>
        <w:rPr>
          <w:sz w:val="20"/>
          <w:szCs w:val="20"/>
          <w:color w:val="auto"/>
        </w:rPr>
      </w:pPr>
      <w:r>
        <w:rPr>
          <w:rFonts w:ascii="Arial" w:cs="Arial" w:eastAsia="Arial" w:hAnsi="Arial"/>
          <w:sz w:val="17"/>
          <w:szCs w:val="17"/>
          <w:color w:val="auto"/>
        </w:rPr>
        <w:t>As of December 31, 2021, we had federal and state net operating loss carryforwards of $293.0 million and $179.7 million, respectively. The federal and state net operating loss carryforwards will begin to expire, if not utilized, beginning in 2023 and 2022, respectively.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how various states will respond to the newly enacted federal tax law.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done an analysis to determine whether or not ownership changes have occurred since inception and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77"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91"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In March 2020, we entered into a $50.0 million credit facility with SLR Investment Corp. (formerly known as Solar Capital Ltd.), or (“Solar”), that is secured by a lien covering substantially all of our assets. The credit facility contains customary covenants and events of default applicable to us. The affirmative covenants include, among others, a covenant that requires us to achieve agreed amounts of trailing twelve month net product revenue (“net product revenue covenant”), measured monthly through the term of the credit facility. The negative covenants include, among others, restrictions on us transferring collateral, changing businesses, engaging in mergers or acquisitions, incurring additional indebtedness and encumbering collateral. If we default under the credit facility, Solar may accelerate all of our repayment obligations and take control of our pledged assets, potentially requiring us to renegotiate our agreement on terms less favorable to us or to immediately cease operations. Further, if we are liquidated, Solar’s right to repayment would be senior to the rights of the holders of our common stock to receive any proceeds from the liquidation. Solar could declare a default upon the occurrence of any event that it interprets as a material adverse effect as defined under the credit facility, thereby requiring us to repay the loan immediately or to attempt to reverse the declaration of default through negotiation or litigation. Any declaration by Solar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In 2020 and 2021, we did not achieve the required revenue under the net product revenue covenant, but we obtained waivers from Solar to cure the breach of the net product revenue covenant. If we fail to achieve the specified level of product net revenue in the future, Solar is under no obligation to provide us with relief for future specified defaults.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34" w:lineRule="exact"/>
        <w:rPr>
          <w:sz w:val="20"/>
          <w:szCs w:val="20"/>
          <w:color w:val="auto"/>
        </w:rPr>
      </w:pPr>
    </w:p>
    <w:p>
      <w:pPr>
        <w:ind w:left="60" w:right="459"/>
        <w:spacing w:after="0"/>
        <w:rPr>
          <w:sz w:val="20"/>
          <w:szCs w:val="20"/>
          <w:color w:val="auto"/>
        </w:rPr>
      </w:pPr>
      <w:r>
        <w:rPr>
          <w:rFonts w:ascii="Arial" w:cs="Arial" w:eastAsia="Arial" w:hAnsi="Arial"/>
          <w:sz w:val="18"/>
          <w:szCs w:val="18"/>
          <w:color w:val="auto"/>
        </w:rPr>
        <w:t>The trading price of our common stock may be highly volatile and could be subject to wide fluctuations in response to various factors, some of which are beyond our control. Factors that could cause volatility in the market price of our common stock include, but are not limited to:</w:t>
      </w:r>
    </w:p>
    <w:p>
      <w:pPr>
        <w:spacing w:after="0" w:line="203"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actual or anticipated fluctuations in our financial condition and operating results;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actual or anticipated changes in our growth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commercial success and market acceptance of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competitors in developing or commercializing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media exposure of our products or of those of others in our industry;</w:t>
      </w:r>
    </w:p>
    <w:p>
      <w:pPr>
        <w:spacing w:after="0" w:line="225" w:lineRule="exact"/>
        <w:rPr>
          <w:rFonts w:ascii="Arial" w:cs="Arial" w:eastAsia="Arial" w:hAnsi="Arial"/>
          <w:sz w:val="18"/>
          <w:szCs w:val="18"/>
          <w:color w:val="auto"/>
        </w:rPr>
      </w:pPr>
    </w:p>
    <w:p>
      <w:pPr>
        <w:ind w:left="720" w:right="135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commercialize or obtain regulatory approvals for our products, or delays in commercializing or obtaining regulatory approvals;</w:t>
      </w:r>
    </w:p>
    <w:p>
      <w:pPr>
        <w:spacing w:after="0" w:line="196" w:lineRule="exact"/>
        <w:rPr>
          <w:rFonts w:ascii="Arial" w:cs="Arial" w:eastAsia="Arial" w:hAnsi="Arial"/>
          <w:sz w:val="18"/>
          <w:szCs w:val="18"/>
          <w:color w:val="auto"/>
        </w:rPr>
      </w:pPr>
    </w:p>
    <w:p>
      <w:pPr>
        <w:ind w:left="720" w:right="73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225" w:lineRule="exact"/>
        <w:rPr>
          <w:rFonts w:ascii="Arial" w:cs="Arial" w:eastAsia="Arial" w:hAnsi="Arial"/>
          <w:sz w:val="18"/>
          <w:szCs w:val="18"/>
          <w:color w:val="auto"/>
        </w:rPr>
      </w:pPr>
    </w:p>
    <w:p>
      <w:pPr>
        <w:ind w:left="720" w:right="79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prevailing economic, industry and market conditions, including factors unrelated to our operating performance or the operating performance of our competitors;</w:t>
      </w:r>
    </w:p>
    <w:p>
      <w:pPr>
        <w:spacing w:after="0" w:line="196" w:lineRule="exact"/>
        <w:rPr>
          <w:rFonts w:ascii="Arial" w:cs="Arial" w:eastAsia="Arial" w:hAnsi="Arial"/>
          <w:sz w:val="18"/>
          <w:szCs w:val="18"/>
          <w:color w:val="auto"/>
        </w:rPr>
      </w:pPr>
    </w:p>
    <w:p>
      <w:pPr>
        <w:ind w:left="720" w:right="23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disruptions caused by earthquakes, fires, pandemic diseases (such as from coronavirus), or other natural disasters;</w:t>
      </w:r>
    </w:p>
    <w:p>
      <w:pPr>
        <w:spacing w:after="0" w:line="196" w:lineRule="exact"/>
        <w:rPr>
          <w:rFonts w:ascii="Arial" w:cs="Arial" w:eastAsia="Arial" w:hAnsi="Arial"/>
          <w:sz w:val="18"/>
          <w:szCs w:val="18"/>
          <w:color w:val="auto"/>
        </w:rPr>
      </w:pPr>
    </w:p>
    <w:p>
      <w:pPr>
        <w:ind w:left="720" w:right="81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or other proprietary rights, including litigation;</w:t>
      </w:r>
    </w:p>
    <w:p>
      <w:pPr>
        <w:spacing w:after="0" w:line="196" w:lineRule="exact"/>
        <w:rPr>
          <w:rFonts w:ascii="Arial" w:cs="Arial" w:eastAsia="Arial" w:hAnsi="Arial"/>
          <w:sz w:val="18"/>
          <w:szCs w:val="18"/>
          <w:color w:val="auto"/>
        </w:rPr>
      </w:pPr>
    </w:p>
    <w:p>
      <w:pPr>
        <w:ind w:left="720" w:right="45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U.S. or foreign regulatory actions affecting us or the healthcare or medical device industry;</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healthcare reform measures in the United States;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payor developments in the United States and other countries;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our directors, officers, or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225" w:lineRule="exact"/>
        <w:rPr>
          <w:rFonts w:ascii="Arial" w:cs="Arial" w:eastAsia="Arial" w:hAnsi="Arial"/>
          <w:sz w:val="18"/>
          <w:szCs w:val="18"/>
          <w:color w:val="auto"/>
        </w:rPr>
      </w:pPr>
    </w:p>
    <w:p>
      <w:pPr>
        <w:ind w:left="720" w:right="33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r>
        <w:rPr>
          <w:rFonts w:ascii="Arial" w:cs="Arial" w:eastAsia="Arial" w:hAnsi="Arial"/>
          <w:sz w:val="15"/>
          <w:szCs w:val="15"/>
          <w:color w:val="auto"/>
        </w:rPr>
        <w:t>.</w:t>
      </w:r>
    </w:p>
    <w:p>
      <w:pPr>
        <w:spacing w:after="0" w:line="22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In addition, the stock markets in general, and the markets for companies like ours in particular, have from time to time experienced extreme volatility that has been often unrelated to the operating performance of the company. These broad market and industry fluctuations may negatively impact the price or liquidity of our common stock, regardless of our operating performance.</w:t>
      </w:r>
    </w:p>
    <w:p>
      <w:pPr>
        <w:spacing w:after="0" w:line="20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8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cause our stock price to decline.</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If our stockholders or option holders sell, or indicate an intention to sell, substantial amounts of our common stock in the public market, the price of our common stock could decline. The perception in the market that these sales may occur could also cause the price of our common stock to decline.</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Shares of common stock that are either subject to outstanding options, or are outstanding but subject to vesting or reserved for future issuance under our 2018 Equity Incentive Plan, or the 2018 Plan, will become eligible for sale in the public market to the extent permitted by the provisions of various vesting schedules, Rule 144 and Rule 701 under the Securities Act. We have also filed a registration statement permitting certain shares of common stock issued under our 2003 Stock Incentive Plan, or the 2003 Plan, and shares of common stock issued pursuant to the 2018 Plan or our 2018 Employee Stock Purchase Plan, or the 2018 ESPP, to be freely resold by plan participants in the public market, subject to applicable vesting schedules and, for shares held by directors, executive officers and other affiliates, volume limitations under Rule 144 under the Securities Act. Both the 2018 Plan and the 2018 ESPP contain provisions for the annual increase of the number of shares reserved for issuance under such plans, which shares we also intend to register. If the shares we may issue from time to time under the 2003 Plan, the 2018 Plan or the 2018 ESPP are sold, or if it is perceived that they will be sold, by the award recipients in the public market, the price of our common stock could decline.</w:t>
      </w:r>
    </w:p>
    <w:p>
      <w:pPr>
        <w:spacing w:after="0" w:line="20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Certain shares of common stock are entitled to rights with respect to registration under the Securities Act. Such registration would result in these shares becoming fully tradable without restriction under the Securities Act when the applicable registration statement is declared effective. Sales of such shares could cause the price of our common stock to decline.</w:t>
      </w:r>
    </w:p>
    <w:p>
      <w:pPr>
        <w:spacing w:after="0" w:line="183"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control over matters subject to stockholder approval.</w:t>
      </w:r>
    </w:p>
    <w:p>
      <w:pPr>
        <w:spacing w:after="0" w:line="176"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As of March 2, 2022, our officers and directors, together with holders of 5% or more of our outstanding common stock and their respective affiliates, beneficially owned approximately 43.4% of our outstanding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common stock. Accordingly, these stockholders have a material influence over the outcome of corporate actions requiring stockholder approval, including the election of directors, mergers, consolidation or sale of all or substantially all of our assets or any other significant corporate transaction. The interests of these stockholders may not be the same as or may even conflict with your interests. For example, these stockholders could attempt to delay or prevent a change in control of the company, even if such a change in control would benefit our other stockholders, which could deprive our stockholders of an opportunity to receive a premium for their common stock as part of a sale of the company or our assets and might affect the prevailing price of our common stock. The significant concentration of stock ownership may negatively impact the price of our common stock due to investors’ perception that conflicts of interest may exist or arise.</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auto"/>
        </w:rPr>
        <w:t>Provisions of our amended and restated charter documents or Delaware law could delay or prevent an acquisition of the company, even if the acquisition would be beneficial to our stockholders, which could make it more difficult for you to change management.</w:t>
      </w:r>
    </w:p>
    <w:p>
      <w:pPr>
        <w:spacing w:after="0" w:line="19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205"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225" w:lineRule="exact"/>
        <w:rPr>
          <w:rFonts w:ascii="Arial" w:cs="Arial" w:eastAsia="Arial" w:hAnsi="Arial"/>
          <w:sz w:val="18"/>
          <w:szCs w:val="18"/>
          <w:color w:val="auto"/>
        </w:rPr>
      </w:pPr>
    </w:p>
    <w:p>
      <w:pPr>
        <w:ind w:left="720" w:right="11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w:t>
      </w:r>
    </w:p>
    <w:p>
      <w:pPr>
        <w:spacing w:after="0" w:line="196" w:lineRule="exact"/>
        <w:rPr>
          <w:rFonts w:ascii="Arial" w:cs="Arial" w:eastAsia="Arial" w:hAnsi="Arial"/>
          <w:sz w:val="18"/>
          <w:szCs w:val="18"/>
          <w:color w:val="auto"/>
        </w:rPr>
      </w:pPr>
    </w:p>
    <w:p>
      <w:pPr>
        <w:ind w:left="720" w:right="419"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the chairman of the board of directors, the chief executive officer or, in the absence of a chief executive officer, the president;</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225" w:lineRule="exact"/>
        <w:rPr>
          <w:rFonts w:ascii="Arial" w:cs="Arial" w:eastAsia="Arial" w:hAnsi="Arial"/>
          <w:sz w:val="18"/>
          <w:szCs w:val="18"/>
          <w:color w:val="auto"/>
        </w:rPr>
      </w:pPr>
    </w:p>
    <w:p>
      <w:pPr>
        <w:ind w:left="720" w:right="55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authority of our board of directors to issue blank-check preferred stock with such terms as our board of directors may determine; and</w:t>
      </w:r>
    </w:p>
    <w:p>
      <w:pPr>
        <w:spacing w:after="0" w:line="196" w:lineRule="exact"/>
        <w:rPr>
          <w:rFonts w:ascii="Arial" w:cs="Arial" w:eastAsia="Arial" w:hAnsi="Arial"/>
          <w:sz w:val="18"/>
          <w:szCs w:val="18"/>
          <w:color w:val="auto"/>
        </w:rPr>
      </w:pPr>
    </w:p>
    <w:p>
      <w:pPr>
        <w:ind w:left="720" w:right="79"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amended and restated certificate of incorporation.</w:t>
      </w:r>
    </w:p>
    <w:p>
      <w:pPr>
        <w:spacing w:after="0" w:line="20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our voting stock, for a period of three years after the date of the transaction in which the person became an interested stockholder, unless the business combination is approved in a prescribed manner. Accordingly, Delaware law may discourage, delay or prevent a change in control of our company.</w:t>
      </w:r>
    </w:p>
    <w:p>
      <w:pPr>
        <w:spacing w:after="0" w:line="205"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Provisions in our charter documents and other provisions of Delaware law could limit the price that investors are willing to pay in the future for shares of our common stock.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19"/>
        <w:spacing w:after="0" w:line="26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Our amended and restated certificate of incorporation provides that, to the fullest extent permitted by law, the Court of Chancery of the State of Delaware is the exclusive forum for (i) any derivative action or proceeding brought on our behalf, other than an action or suit to enforce a duty or liability created by the Exchange Act or any other claim for which the federal courts have exclusive jurisdiction, (ii) any action asserting a claim of breach of a fiduciary duty or other wrongdoing by any of our directors, officers, employees or agents to us or our stockholders, (iii) any action asserting a claim arising pursuant to any provision of the DGCL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91" w:lineRule="exact"/>
        <w:rPr>
          <w:sz w:val="20"/>
          <w:szCs w:val="20"/>
          <w:color w:val="auto"/>
        </w:rPr>
      </w:pPr>
    </w:p>
    <w:p>
      <w:pPr>
        <w:ind w:left="60" w:right="559"/>
        <w:spacing w:after="0" w:line="253"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19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never declared or paid any cash dividends on our common stock and do not intend to do so in the foreseeable future. We currently intend to retain all available funds and any future earnings to finance the growth and development of our business. In addition, the terms of our credit agreements contain, and the terms of any future credit agreements we may enter into may contain, terms prohibiting or limiting the amount of dividends that may be declared or paid on our common stock. As a result, capital appreciation, if any, of our common stock will be your sole source of gain for the foreseeable future.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76" w:lineRule="exact"/>
        <w:rPr>
          <w:sz w:val="20"/>
          <w:szCs w:val="20"/>
          <w:color w:val="auto"/>
        </w:rPr>
      </w:pPr>
    </w:p>
    <w:p>
      <w:pPr>
        <w:jc w:val="both"/>
        <w:ind w:left="60" w:right="159"/>
        <w:spacing w:after="0" w:line="238" w:lineRule="auto"/>
        <w:rPr>
          <w:sz w:val="20"/>
          <w:szCs w:val="20"/>
          <w:color w:val="auto"/>
        </w:rPr>
      </w:pPr>
      <w:r>
        <w:rPr>
          <w:rFonts w:ascii="Arial" w:cs="Arial" w:eastAsia="Arial" w:hAnsi="Arial"/>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183" w:lineRule="exact"/>
        <w:rPr>
          <w:sz w:val="20"/>
          <w:szCs w:val="20"/>
          <w:color w:val="auto"/>
        </w:rPr>
      </w:pPr>
    </w:p>
    <w:p>
      <w:pPr>
        <w:ind w:left="60" w:right="859"/>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could make our common stock less attractive to investors.</w:t>
      </w:r>
    </w:p>
    <w:p>
      <w:pPr>
        <w:spacing w:after="0" w:line="176"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We may remain an emerging growth company until as late as December 31, 2023, though we may cease to be an emerging growth company earlier under certain circumstances, including (i) if the market value of our common stock that is held by non-affiliates exceeds $700 million as of any June 30, in which</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case we would cease to be an emerging growth company as of the following December 31, or (ii) if our gross revenues exceeds $1.07 billion in any fiscal year. “Emerging growth companies” may take advantage of certain exemptions from various reporting requirements that are applicable to other public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06"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addition, Section 102 of the JOBS Act also provides that an emerging growth company can take advantage of the extended transition period provided in Section 7(a)(2)(B) of the Securities Act of 1933, as amended, or the Securities Act, for complying with new or revised accounting standards. An emerging growth company can therefore delay the adoption of certain accounting standards until those standards would otherwise apply to private companies. We are choosing not to “opt out” of such extended transition period, and as a result, we will not comply with new or revised accounting standards on the relevant dates on which adoption of such standards is required for non-emerging growth companies.</w:t>
      </w:r>
    </w:p>
    <w:p>
      <w:pPr>
        <w:spacing w:after="0" w:line="181"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the value of our common stock.</w:t>
      </w:r>
    </w:p>
    <w:p>
      <w:pPr>
        <w:spacing w:after="0" w:line="191"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As a public company, the Sarbanes-Oxley Act requires that we maintain effective disclosure controls and procedures and internal control over financial reporting. We have developed disclosure controls and other procedures that are designed to ensure that information required to be disclosed by us in the reports that we file with the SEC is recorded, processed, summarized and reported within the time periods specified in SEC</w:t>
      </w:r>
    </w:p>
    <w:p>
      <w:pPr>
        <w:spacing w:after="0" w:line="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rules and regulations, and that information required to be disclosed in reports under the Exchange Act, is communicated to our principal executive and financial officers. Our current controls and any new controls that we develop may become inadequate and weaknesses in our internal control over financial reporting may be discovered in the future. We believe that any disclosure controls and procedures, no matter how well conceived and operated, can provide only reasonable, not absolute, assurance that the objectives of the control system are met. These inherent limitations reflect the reality that judgments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Any failure to maintain effective controls could negatively impact the results of periodic management evaluations and annual independent registered public accounting firm attestation reports regarding the effectiveness of our internal control over financial reporting that we will be required to include in periodic reports we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be unable to remain listed on the Nasdaq Global Market.</w:t>
      </w:r>
    </w:p>
    <w:p>
      <w:pPr>
        <w:spacing w:after="0" w:line="20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the later of our second annual report or the first Annual Report on Form 10-K we file with the SEC following the date we are no longer an “emerging growth company,” as defined in the JOBS Act, depending on whether and to the extent we choose to rely on certain exemptions set forth in the JOBS Act.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or reports about our business, our stock price and trading volume could decline.</w:t>
      </w:r>
    </w:p>
    <w:p>
      <w:pPr>
        <w:spacing w:after="0" w:line="19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trading market for our common stock depends, to some extent, on the research and reports that securities or industry analysts publish about us and our business. We do not have any control over these analysts. If one or more of the analysts who cover us downgrade our common stock or change their opinion of our common stock, our stock price would likely decline. If one or more of these analysts cease to cover us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occupy an approximately 42,500 square foot facility in Malvern, Pennsylvania, under a lease that ends in February 2028, for our corporate headquarters, which includes office and warehouse space. We have an option to extend the lease for an additional five-year term. We also occupy an approximately 9,600 square foot facility in Charlotte, North Carolina, under a lease that ends in 2027, to be used as a training facility for our NeuroStar Advanced Therapy Systems. We have an option to extend the lease for an additional one-year term. We believe that our existing facilities are adequate to meet our needs for the foreseeable future.</w:t>
      </w:r>
    </w:p>
    <w:p>
      <w:pPr>
        <w:spacing w:after="0" w:line="169"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69"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Price</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Our common stock has been publicly traded on the Nasdaq Global Market under the symbol “STIM” since June 28, 2018. Prior to that time, there was no public market for our common stock. The shares of our common stock sold in our IPO on June 27, 2018 were priced at $17.00 per share. The shares of our common stock sold in our secondary public offering and sale of our common stock on February 2, 2021 were priced at $15.50 per share.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34"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As of February 28, 2022, there were approximately 57 holders of record of our common stock, solely based upon the count our transfer agent provided to us as of that date.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234"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auto"/>
        </w:rPr>
        <w:t>The following table details information regarding our existing equity compensation plans as of December 31, 2021:</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Available for</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center"/>
              <w:ind w:right="199"/>
              <w:spacing w:after="0"/>
              <w:rPr>
                <w:sz w:val="20"/>
                <w:szCs w:val="20"/>
                <w:color w:val="auto"/>
              </w:rPr>
            </w:pPr>
            <w:r>
              <w:rPr>
                <w:rFonts w:ascii="Arial" w:cs="Arial" w:eastAsia="Arial" w:hAnsi="Arial"/>
                <w:sz w:val="14"/>
                <w:szCs w:val="14"/>
                <w:b w:val="1"/>
                <w:bCs w:val="1"/>
                <w:color w:val="auto"/>
              </w:rPr>
              <w:t>Future</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Securities to</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Issuance</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be Issued</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Upon</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 of</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w:t>
            </w:r>
          </w:p>
        </w:tc>
        <w:tc>
          <w:tcPr>
            <w:tcW w:w="300" w:type="dxa"/>
            <w:vAlign w:val="bottom"/>
          </w:tcPr>
          <w:p>
            <w:pPr>
              <w:spacing w:after="0"/>
              <w:rPr>
                <w:sz w:val="14"/>
                <w:szCs w:val="14"/>
                <w:color w:val="auto"/>
              </w:rPr>
            </w:pPr>
          </w:p>
        </w:tc>
        <w:tc>
          <w:tcPr>
            <w:tcW w:w="740" w:type="dxa"/>
            <w:vAlign w:val="bottom"/>
          </w:tcPr>
          <w:p>
            <w:pPr>
              <w:jc w:val="center"/>
              <w:ind w:right="199"/>
              <w:spacing w:after="0"/>
              <w:rPr>
                <w:sz w:val="20"/>
                <w:szCs w:val="20"/>
                <w:color w:val="auto"/>
              </w:rPr>
            </w:pPr>
            <w:r>
              <w:rPr>
                <w:rFonts w:ascii="Arial" w:cs="Arial" w:eastAsia="Arial" w:hAnsi="Arial"/>
                <w:sz w:val="14"/>
                <w:szCs w:val="14"/>
                <w:b w:val="1"/>
                <w:bCs w:val="1"/>
                <w:color w:val="auto"/>
              </w:rPr>
              <w:t>Plans</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 of</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Warrants</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reflected</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and Rights</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Warrants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Column (a)</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and Rights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r>
      <w:tr>
        <w:trPr>
          <w:trHeight w:val="175"/>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5"/>
                <w:szCs w:val="15"/>
                <w:color w:val="auto"/>
              </w:rPr>
            </w:pPr>
          </w:p>
        </w:tc>
        <w:tc>
          <w:tcPr>
            <w:tcW w:w="740" w:type="dxa"/>
            <w:vAlign w:val="bottom"/>
          </w:tcPr>
          <w:p>
            <w:pPr>
              <w:jc w:val="center"/>
              <w:ind w:right="199"/>
              <w:spacing w:after="0"/>
              <w:rPr>
                <w:sz w:val="20"/>
                <w:szCs w:val="20"/>
                <w:color w:val="auto"/>
              </w:rPr>
            </w:pPr>
            <w:r>
              <w:rPr>
                <w:rFonts w:ascii="Arial" w:cs="Arial" w:eastAsia="Arial" w:hAnsi="Arial"/>
                <w:sz w:val="14"/>
                <w:szCs w:val="14"/>
                <w:b w:val="1"/>
                <w:bCs w:val="1"/>
                <w:color w:val="auto"/>
              </w:rPr>
              <w:t>(c)</w:t>
            </w:r>
          </w:p>
        </w:tc>
      </w:tr>
      <w:tr>
        <w:trPr>
          <w:trHeight w:val="196"/>
        </w:trPr>
        <w:tc>
          <w:tcPr>
            <w:tcW w:w="54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2,836</w:t>
            </w:r>
          </w:p>
        </w:tc>
      </w:tr>
      <w:tr>
        <w:trPr>
          <w:trHeight w:val="203"/>
        </w:trPr>
        <w:tc>
          <w:tcPr>
            <w:tcW w:w="5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compensation plans not approved by security holders</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196"/>
        </w:trPr>
        <w:tc>
          <w:tcPr>
            <w:tcW w:w="564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2,986</w:t>
            </w: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80" w:right="259" w:hanging="330"/>
        <w:spacing w:after="0" w:line="246" w:lineRule="auto"/>
        <w:tabs>
          <w:tab w:leader="none" w:pos="380" w:val="left"/>
        </w:tabs>
        <w:numPr>
          <w:ilvl w:val="0"/>
          <w:numId w:val="33"/>
        </w:numPr>
        <w:rPr>
          <w:rFonts w:ascii="Arial" w:cs="Arial" w:eastAsia="Arial" w:hAnsi="Arial"/>
          <w:sz w:val="15"/>
          <w:szCs w:val="15"/>
          <w:color w:val="auto"/>
        </w:rPr>
      </w:pPr>
      <w:r>
        <w:rPr>
          <w:rFonts w:ascii="Arial" w:cs="Arial" w:eastAsia="Arial" w:hAnsi="Arial"/>
          <w:sz w:val="18"/>
          <w:szCs w:val="18"/>
          <w:color w:val="auto"/>
        </w:rPr>
        <w:t>This number includes 149.6 thousand shares available for issuance under the 2020 Inducement Incentive Plan as of December 31, 2021.</w:t>
      </w:r>
    </w:p>
    <w:p>
      <w:pPr>
        <w:spacing w:after="0" w:line="19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See “Item 15. Exhibits and Financial Statement Schedules — Notes to Financial Statements — Note 13. Stockholders’ Equity, Note 15. Share-Based Compensation and Note 16. Employee Benefit Plans” for additional information on compensation plans under which equity securities of the registrant are authorized for issuance without the approval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6.</w:t>
        <w:tab/>
        <w:t>[Reserved]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financial statements and related notes thereto and other financial information included elsewhere in this Annual Report on Form 10-K. In addition to historical financial information, some of the information contained in the following discussion and analysis contains forward-looking statements that involve risks, uncertainties and assumptions. You should review the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the estimated 121,960 global patients treated with over 4.3 million of our treatment sessions through December 31, 2021. We generated revenues of $55.3 million and $49.2 million for the years ended December 31, 2021 and 2020, respectively.</w:t>
      </w:r>
    </w:p>
    <w:p>
      <w:pPr>
        <w:spacing w:after="0" w:line="204"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We designed the NeuroStar Advanced Therapy System as a non-invasive therapeutic alternative to treat patients who suffer from MDD and to address many of the key limitations of existing treatment options. We generate revenues from initial capital sales of our systems, sales of our recurring treatment sessions and from service and repair and extended warranty contracts. We derive the majority of our revenues from recurring treatment sessions. For the year ended December 31, 2021, revenues from sales of our treatment sessions and NeuroStar Advanced Therapy Systems represented 78% and 18% of our U.S. revenues, respectively. For</w:t>
      </w:r>
    </w:p>
    <w:p>
      <w:pPr>
        <w:spacing w:after="0" w:line="4"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the year ended December 31, 2020, revenues from sales of our treatment sessions and NeuroStar Advanced Therapy Systems represented 73% and 23% of our U.S. revenues, respectively.</w:t>
      </w:r>
    </w:p>
    <w:p>
      <w:pPr>
        <w:spacing w:after="0" w:line="19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currently sell our NeuroStar Advanced Therapy System and recurring treatment sessions in the United States through our sales and customer support team. Our sales force targets an estimated 50,000 psychiatrists across 26,000 practices that we estimate, based on data from Symphony Health and our own internal estimates, treat approximately 42% of the total MDD patients in the United States who meet our labeled indication and are insured. We expect to continue to expand our direct sales and customer support team to further penetrate the market by demonstrating the benefits of our NeuroStar Advanced Therapy to psychiatrists and their MDD patients.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$8,500 of average revenue per patient for a standard course of treatment, which may provide meaningful incremental income to their practices. We have a diverse customer base of psychiatrists in group psychiatric practices in the United States. One customer accounted for more than 10% of our revenues for the years ended December 31, 2021 and 2020. Patients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59"/>
        <w:spacing w:after="0" w:line="246" w:lineRule="auto"/>
        <w:rPr>
          <w:sz w:val="20"/>
          <w:szCs w:val="20"/>
          <w:color w:val="auto"/>
        </w:rPr>
      </w:pPr>
      <w:r>
        <w:rPr>
          <w:rFonts w:ascii="Arial" w:cs="Arial" w:eastAsia="Arial" w:hAnsi="Arial"/>
          <w:sz w:val="18"/>
          <w:szCs w:val="18"/>
          <w:color w:val="auto"/>
        </w:rPr>
        <w:t>are reimbursed by Medicare and the vast majority of commercial payors in the United States for treatment sessions utilizing our NeuroStar Advanced Therapy System.</w:t>
      </w:r>
    </w:p>
    <w:p>
      <w:pPr>
        <w:spacing w:after="0" w:line="19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International revenues represented 3% and 4% of our total revenues for the years ended December 31, 2021 and 2020,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We obtained reimbursement coverage for NeuroStar Advanced Therapy in Japan, which went into effect on June 1, 2019 and covers patients who are treated in the largest inpatient and outpatient psychiatric facilities in Japan. We expect our international revenues to increase as a percentage of our total revenues as we grow our presence in Japan.</w:t>
      </w:r>
    </w:p>
    <w:p>
      <w:pPr>
        <w:spacing w:after="0" w:line="20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research and development efforts are focused on the following: hardware and software product developments and enhancements of our NeuroStar Advanced Therapy System and clinical development relating to additional indications.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20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Our total revenues increased by $6.1 million, or 12%, from $49.2 million for the year ended December 31, 2020 to $55.3 million for the year ended December 31, 2021. For the year ended December 31, 2021, our U.S. revenues were $53.4 million, compared to $47.5 million for the year ended December 31, 2020, which represented an increase of 12% period over period. We expect to continue to incur losses for the next several years as we expand our commercial organization to support our planned sales growth and while continuing to invest in our pipeline indications. As of December 31, 2021, we had an accumulated deficit of $308.7 million.</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w:t>
      </w:r>
    </w:p>
    <w:p>
      <w:pPr>
        <w:spacing w:after="0" w:line="230"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Throughout the years ended 2021 and 2020, the Company experienced a material impact to revenue, particularly with regards to U.S. treatment session revenues as a result of the COVID-19 pandemic. The Company expects that capital equipment sales and treatment session revenues will continue to be materially impacted by the pandemic as customers defer capital purchase decisions and delay new patient treatment starts. System utilization has also declined compared to pre-COVID-19 projections.</w:t>
      </w:r>
    </w:p>
    <w:p>
      <w:pPr>
        <w:spacing w:after="0" w:line="20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have monitored the impact of the COVID-19 pandemic on all aspects of our business and geographies, including how it has and will continue to impact the Company’s customers, supply chain, employees and other business partners. While we experienced significant disruptions in the years ended 2021 and 2020 from the COVID-19 pandemic, we are unable to predict the ultimate impact that the COVID-19 pandemic may have on our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vaccination rates and containment measures, among others. The outbreak of COVID-19 in many countries, including the United States, has significantly adversely impacted global economic activity.</w:t>
      </w:r>
    </w:p>
    <w:p>
      <w:pPr>
        <w:spacing w:after="0" w:line="20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refer to “Risk Factors” in “Item 1A” of this Annual Report on Form 10-K.</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81"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sales or rentals of a capital component, including upgrades to the equipment attributable to the initial sale of the system. NeuroStar Advanced Therapy Systems can be purchased outright or on a rent-to-own basis by certain customers.</w:t>
      </w:r>
    </w:p>
    <w:p>
      <w:pPr>
        <w:spacing w:after="0" w:line="174"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u w:val="single" w:color="auto"/>
          <w:color w:val="auto"/>
        </w:rPr>
        <w:t>Treatment Session Revenues</w:t>
      </w:r>
      <w:r>
        <w:rPr>
          <w:rFonts w:ascii="Arial" w:cs="Arial" w:eastAsia="Arial" w:hAnsi="Arial"/>
          <w:sz w:val="18"/>
          <w:szCs w:val="18"/>
          <w:color w:val="auto"/>
        </w:rPr>
        <w:t>. Treatment session revenues primarily include sales of NeuroStar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Sessions and SenStar treatment links. The 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79"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 Other revenues are derived primarily from service and repair extended warranty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existing customers.</w:t>
      </w:r>
    </w:p>
    <w:p>
      <w:pPr>
        <w:spacing w:after="0" w:line="176"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elsewhere in this Annual Report on Form 10-K for additional information regarding how we account for revenues.</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Sales in the United States represented 97% and 96% of our total revenues for the years ending December 31, 2021 and 2020, respectively, and have been generated by our direct sales force. Outside the United States, our sales are made through local third-party distributors. International revenues were 3% and 4% for the years ended December 31, 2021 and 2020, respectively. We expect that both our United States and international revenues will increase in the near term as we continue to expand active customer sites utilizing our NeuroStar Advanced Therapy Systems and increase the related patient utilization in the United States, as well as grow our presence in Japan. We expect our revenues to be positively impacted to the extent our direct sales force is successful in increasing the rate of adoption and utilization of treatment with TMS Therapy as an alternative to other MDD treatments.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and to the extent our revenues grow.</w:t>
      </w:r>
    </w:p>
    <w:p>
      <w:pPr>
        <w:spacing w:after="0" w:line="205"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3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television and radio media campaigns, travel and training expenses.</w:t>
      </w:r>
    </w:p>
    <w:p>
      <w:pPr>
        <w:spacing w:after="0" w:line="205"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We anticipate that our sales and marketing expenses will increase in 2022 compared to 2021 expenses as we continue to execute on our growth initiatives and expand our business in the United States.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95"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We anticipate that our general and administrative expenses will remain materially consistent during 2022 compared to our 2021 expenses.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205"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related to neurohealth disorders, as well as for various hardware and software development projects. As a result, we expect our research and development expenses to increase during 2022 compared to our 2021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jc w:val="both"/>
        <w:ind w:left="60" w:right="199"/>
        <w:spacing w:after="0" w:line="274" w:lineRule="auto"/>
        <w:rPr>
          <w:sz w:val="20"/>
          <w:szCs w:val="20"/>
          <w:color w:val="auto"/>
        </w:rPr>
      </w:pPr>
      <w:r>
        <w:rPr>
          <w:rFonts w:ascii="Arial" w:cs="Arial" w:eastAsia="Arial" w:hAnsi="Arial"/>
          <w:sz w:val="17"/>
          <w:szCs w:val="17"/>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30"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Other income, net consists primarily of interest income earned on our money market account balances and note receivables.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12"/>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16"/>
          </w:tcPr>
          <w:p>
            <w:pPr>
              <w:jc w:val="right"/>
              <w:ind w:right="78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3"/>
          </w:tcPr>
          <w:p>
            <w:pPr>
              <w:jc w:val="right"/>
              <w:ind w:right="335"/>
              <w:spacing w:after="0" w:line="155"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Dollars</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5"/>
          </w:tcPr>
          <w:p>
            <w:pPr>
              <w:jc w:val="right"/>
              <w:ind w:right="73"/>
              <w:spacing w:after="0" w:line="155" w:lineRule="exact"/>
              <w:rPr>
                <w:sz w:val="20"/>
                <w:szCs w:val="20"/>
                <w:color w:val="auto"/>
              </w:rPr>
            </w:pPr>
            <w:r>
              <w:rPr>
                <w:rFonts w:ascii="Arial" w:cs="Arial" w:eastAsia="Arial" w:hAnsi="Arial"/>
                <w:sz w:val="14"/>
                <w:szCs w:val="14"/>
                <w:b w:val="1"/>
                <w:bCs w:val="1"/>
                <w:color w:val="auto"/>
              </w:rPr>
              <w:t>Percentage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11"/>
          </w:tcPr>
          <w:p>
            <w:pPr>
              <w:jc w:val="right"/>
              <w:spacing w:after="0" w:line="142" w:lineRule="exact"/>
              <w:rPr>
                <w:sz w:val="20"/>
                <w:szCs w:val="20"/>
                <w:color w:val="auto"/>
              </w:rPr>
            </w:pPr>
            <w:r>
              <w:rPr>
                <w:rFonts w:ascii="Arial" w:cs="Arial" w:eastAsia="Arial" w:hAnsi="Arial"/>
                <w:sz w:val="14"/>
                <w:szCs w:val="14"/>
                <w:b w:val="1"/>
                <w:bCs w:val="1"/>
                <w:color w:val="auto"/>
              </w:rPr>
              <w:t>(in thousands, except</w:t>
            </w:r>
          </w:p>
        </w:tc>
        <w:tc>
          <w:tcPr>
            <w:tcW w:w="104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percentages)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55,312</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49,244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6,068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12 %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11,653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11,554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43,659</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37,690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rPr>
              <w:t>5,969</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ind w:left="320"/>
              <w:spacing w:after="0" w:line="196" w:lineRule="exact"/>
              <w:rPr>
                <w:sz w:val="20"/>
                <w:szCs w:val="20"/>
                <w:color w:val="auto"/>
              </w:rPr>
            </w:pPr>
            <w:r>
              <w:rPr>
                <w:rFonts w:ascii="Arial" w:cs="Arial" w:eastAsia="Arial" w:hAnsi="Arial"/>
                <w:sz w:val="18"/>
                <w:szCs w:val="18"/>
                <w:i w:val="1"/>
                <w:iCs w:val="1"/>
                <w:color w:val="auto"/>
              </w:rPr>
              <w:t>Gross Margin</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i w:val="1"/>
                <w:iCs w:val="1"/>
                <w:color w:val="auto"/>
              </w:rPr>
              <w:t>78.9 %</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76.5 %</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37,746</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32,562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5,184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16 %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25,554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18,236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7,318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7,923</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9,201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(1,278)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71,223</w:t>
            </w:r>
          </w:p>
        </w:tc>
        <w:tc>
          <w:tcPr>
            <w:tcW w:w="2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59,999</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rPr>
              <w:t>11,224</w:t>
            </w:r>
          </w:p>
        </w:tc>
        <w:tc>
          <w:tcPr>
            <w:tcW w:w="2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gridSpan w:val="3"/>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(27,564)</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(22,309)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rPr>
              <w:t>(5,255)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4,019</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ind w:left="100"/>
              <w:spacing w:after="0" w:line="202" w:lineRule="exact"/>
              <w:rPr>
                <w:sz w:val="20"/>
                <w:szCs w:val="20"/>
                <w:color w:val="auto"/>
              </w:rPr>
            </w:pPr>
            <w:r>
              <w:rPr>
                <w:rFonts w:ascii="Arial" w:cs="Arial" w:eastAsia="Arial" w:hAnsi="Arial"/>
                <w:sz w:val="18"/>
                <w:szCs w:val="18"/>
                <w:color w:val="auto"/>
              </w:rPr>
              <w:t>Loss on extinguishment of debt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(924)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income, net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ind w:left="320"/>
              <w:spacing w:after="0" w:line="196" w:lineRule="exact"/>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(31,193)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(27,453)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rPr>
              <w:t>(3,740)</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2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14"/>
          </w:tcPr>
          <w:p>
            <w:pPr>
              <w:jc w:val="right"/>
              <w:ind w:right="320"/>
              <w:spacing w:after="0"/>
              <w:rPr>
                <w:sz w:val="20"/>
                <w:szCs w:val="20"/>
                <w:color w:val="auto"/>
              </w:rPr>
            </w:pPr>
            <w:r>
              <w:rPr>
                <w:rFonts w:ascii="Arial" w:cs="Arial" w:eastAsia="Arial" w:hAnsi="Arial"/>
                <w:sz w:val="14"/>
                <w:szCs w:val="14"/>
                <w:b w:val="1"/>
                <w:bCs w:val="1"/>
                <w:color w:val="auto"/>
              </w:rPr>
              <w:t>Revenues by Geography</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6"/>
          </w:tcPr>
          <w:p>
            <w:pPr>
              <w:jc w:val="center"/>
              <w:ind w:right="260"/>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5"/>
          </w:tcPr>
          <w:p>
            <w:pPr>
              <w:ind w:left="460"/>
              <w:spacing w:after="0" w:line="155"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33"/>
              <w:spacing w:after="0" w:line="14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6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18"/>
          </w:tcPr>
          <w:p>
            <w:pPr>
              <w:jc w:val="center"/>
              <w:ind w:left="335"/>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53,447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97 %</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47,519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1,865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8"/>
              <w:spacing w:after="0" w:line="202" w:lineRule="exact"/>
              <w:rPr>
                <w:sz w:val="20"/>
                <w:szCs w:val="20"/>
                <w:color w:val="auto"/>
              </w:rPr>
            </w:pPr>
            <w:r>
              <w:rPr>
                <w:rFonts w:ascii="Arial" w:cs="Arial" w:eastAsia="Arial" w:hAnsi="Arial"/>
                <w:sz w:val="18"/>
                <w:szCs w:val="18"/>
                <w:color w:val="auto"/>
              </w:rPr>
              <w:t>1,725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55,312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49,244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24"/>
          </w:tcPr>
          <w:p>
            <w:pPr>
              <w:ind w:left="46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6"/>
          </w:tcPr>
          <w:p>
            <w:pPr>
              <w:jc w:val="right"/>
              <w:ind w:right="220"/>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7"/>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7"/>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90"/>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2"/>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19"/>
          </w:tcPr>
          <w:p>
            <w:pPr>
              <w:ind w:left="48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70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NeuroStar Advanced Therapy System</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9,760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11,094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Treatment sessions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41,933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78 %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34,852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1,573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53,447</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47,519</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382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rPr>
              <w:t>United States NeuroStar Advanced Therapy System</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Revenues by Type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601"/>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59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gridSpan w:val="8"/>
          </w:tcPr>
          <w:p>
            <w:pPr>
              <w:jc w:val="center"/>
              <w:ind w:right="36"/>
              <w:spacing w:after="0" w:line="182" w:lineRule="exact"/>
              <w:rPr>
                <w:sz w:val="20"/>
                <w:szCs w:val="20"/>
                <w:color w:val="auto"/>
              </w:rPr>
            </w:pPr>
            <w:r>
              <w:rPr>
                <w:rFonts w:ascii="Arial" w:cs="Arial" w:eastAsia="Arial" w:hAnsi="Arial"/>
                <w:sz w:val="18"/>
                <w:szCs w:val="18"/>
                <w:b w:val="1"/>
                <w:bCs w:val="1"/>
                <w:color w:val="auto"/>
                <w:w w:val="99"/>
              </w:rPr>
              <w:t>(in thousands, except percentages)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NeuroStar Capital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8,820</w:t>
            </w:r>
          </w:p>
        </w:tc>
        <w:tc>
          <w:tcPr>
            <w:tcW w:w="12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90 % $</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10,518</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3 %</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c>
          <w:tcPr>
            <w:tcW w:w="16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20"/>
              <w:spacing w:after="0" w:line="201" w:lineRule="exact"/>
              <w:rPr>
                <w:sz w:val="20"/>
                <w:szCs w:val="20"/>
                <w:color w:val="auto"/>
              </w:rPr>
            </w:pPr>
            <w:r>
              <w:rPr>
                <w:rFonts w:ascii="Arial" w:cs="Arial" w:eastAsia="Arial" w:hAnsi="Arial"/>
                <w:sz w:val="18"/>
                <w:szCs w:val="18"/>
                <w:color w:val="auto"/>
              </w:rPr>
              <w:t>Total United States NeuroStar Advanced Therapy System</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80" w:type="dxa"/>
            <w:vAlign w:val="bottom"/>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9,760</w:t>
            </w:r>
          </w:p>
        </w:tc>
        <w:tc>
          <w:tcPr>
            <w:tcW w:w="180" w:type="dxa"/>
            <w:vAlign w:val="bottom"/>
            <w:vMerge w:val="restart"/>
          </w:tcPr>
          <w:p>
            <w:pPr>
              <w:spacing w:after="0"/>
              <w:rPr>
                <w:sz w:val="15"/>
                <w:szCs w:val="15"/>
                <w:color w:val="auto"/>
              </w:rPr>
            </w:pP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100 %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11,094</w:t>
            </w:r>
          </w:p>
        </w:tc>
        <w:tc>
          <w:tcPr>
            <w:tcW w:w="160" w:type="dxa"/>
            <w:vAlign w:val="bottom"/>
          </w:tcPr>
          <w:p>
            <w:pPr>
              <w:spacing w:after="0"/>
              <w:rPr>
                <w:sz w:val="15"/>
                <w:szCs w:val="15"/>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0"/>
        </w:trPr>
        <w:tc>
          <w:tcPr>
            <w:tcW w:w="5080" w:type="dxa"/>
            <w:vAlign w:val="bottom"/>
          </w:tcPr>
          <w:p>
            <w:pPr>
              <w:ind w:left="120"/>
              <w:spacing w:after="0" w:line="190" w:lineRule="exact"/>
              <w:rPr>
                <w:sz w:val="20"/>
                <w:szCs w:val="20"/>
                <w:color w:val="auto"/>
              </w:rPr>
            </w:pPr>
            <w:r>
              <w:rPr>
                <w:rFonts w:ascii="Arial" w:cs="Arial" w:eastAsia="Arial" w:hAnsi="Arial"/>
                <w:sz w:val="18"/>
                <w:szCs w:val="18"/>
                <w:color w:val="auto"/>
              </w:rPr>
              <w:t>revenues</w:t>
            </w: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Total revenues increased by $6.1 million, or 12%, from $49.2 million for the year ended December 31, 2020 to $55.3 million for the year ended December 31, 2021. For the period ended December 31, 2021, U.S. revenue increased by 12% and international revenue increased by 8% over the comparative prior year period. The U.S. revenue growth was primarily due to an increase in U.S. treatment session revenue and the international revenue growth was primarily driven by an increase in international NeuroStar Advanced Therapy Systems sales.</w:t>
      </w:r>
    </w:p>
    <w:p>
      <w:pPr>
        <w:spacing w:after="0" w:line="205"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Revenues in the United States increased by $5.9 million, or 12%, from $47.5 million for the year ended December 31, 2020 to $53.4 million for the year ended December 31, 2021. NeuroStar Advanced Therapy System revenue in the United States decreased by $1.3 million, or 12%, in the year ended December 31, 2021 compared to the year ended December 31, 2020. The decrease was primarily driven by a 16% decrease in NeuroStar Advanced Therapy System capital revenue, which includes capital sales and sales-type leases. The decrease in NeuroStar capital revenue was primarily driven by a decrease of 37 units in NeuroStar Advanced Therapy Systems sold from 166 units for the year ended December 31, 2020 to 129 units for the year ended December 31, 2021. We believe the decline in volume for the NeuroStar Advanced Therapy System revenues between these two periods was primarily due to the impact of COVID-19 as demand for our NeuroStar Therapy System units continued to be significantly impacted by the on-going economic uncertainty created by COVID-19, which created slower than expected expansion into new customer accounts and existing national accounts by our commercial organization. The Company expects to recognize future recurring treatment session revenue related to the sale of 147 NeuroStar Advanced Therapy systems, including 18 units recognized as operating leases, for the year ended December 31, 2021 compared to 166 units for the December 31, 2020 period. The Company did not enter into any operating lease sale agreements in the year ended December 31, 2020 period.</w:t>
      </w:r>
    </w:p>
    <w:p>
      <w:pPr>
        <w:spacing w:after="0" w:line="19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Treatment sessions revenues represented 78% and 73% of total revenues in the United States for the years ended December 31, 2021 and 2020, respectively, and increased by 20% from $ 34.9 million for the year ended December 31, 2020 to $41.9 million for the year ended December 31, 2021. The increase in U.S. treatment session revenue was primarily the result of an increase in 82,043 treatment sessions sold from 439,936 units for the year ended December 31, 2020 to 521,979 for the year ended December 31, 2021. We believe the increase in overall volume of treatment session revenue between these two periods was primarily due to the growth in active customer sites of 50 from 909 as of December 31, 2020 to 959 as of December 31, 2021. The growth in U.S. treatment session revenue was offset by the impact of COVID-19, which continued to delay new patient starts in 2021.</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revenues increased by $0.1 million, or 1%, from $11.6 million for the year ended December 31, 2020 to</w:t>
      </w:r>
    </w:p>
    <w:p>
      <w:pPr>
        <w:ind w:left="60"/>
        <w:spacing w:after="0" w:line="234" w:lineRule="auto"/>
        <w:rPr>
          <w:sz w:val="20"/>
          <w:szCs w:val="20"/>
          <w:color w:val="auto"/>
        </w:rPr>
      </w:pPr>
      <w:r>
        <w:rPr>
          <w:rFonts w:ascii="Arial" w:cs="Arial" w:eastAsia="Arial" w:hAnsi="Arial"/>
          <w:sz w:val="18"/>
          <w:szCs w:val="18"/>
          <w:color w:val="auto"/>
        </w:rPr>
        <w:t>$11.7 million for the year ended December 31, 2021. Gross margin was 78.9% for the year ended</w:t>
      </w:r>
    </w:p>
    <w:p>
      <w:pPr>
        <w:ind w:left="60"/>
        <w:spacing w:after="0" w:line="235" w:lineRule="auto"/>
        <w:rPr>
          <w:sz w:val="20"/>
          <w:szCs w:val="20"/>
          <w:color w:val="auto"/>
        </w:rPr>
      </w:pPr>
      <w:r>
        <w:rPr>
          <w:rFonts w:ascii="Arial" w:cs="Arial" w:eastAsia="Arial" w:hAnsi="Arial"/>
          <w:sz w:val="18"/>
          <w:szCs w:val="18"/>
          <w:color w:val="auto"/>
        </w:rPr>
        <w:t>December 31, 2021 compared to 76.5% for the year ended December 31, 2020. The increase in gross margin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was the result of a change in the product mix of revenue versus the prior year.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3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Sales and marketing expenses increased by $5.1 million, or 16%, from $32.6 million for the year ended December 31, 2020 to $37.7 million for the year ended December 31, 2021. The change was primarily due to an increase of $4.1 million in personnel costs related to salary, share-based compensation, bonus, commissions and payroll taxes, $ 2.8 million in marketing, related to advertising, trade shows, and new marketing directives, $0.6 million in travel related expenses and $ 0.3 million related to national sales meetings and sales training costs. The increase in expense was offset by a decrease of $2.1 million in severance related costs and $0.6 million in professional fees. The Company incurred additional sales and marketing expense for the year ended December 31, 2021 compared to the year ended December, 2020 in order to strategically implement new marketing initiatives and to hold more in-person sales events in 2021 with the lifting of certain COVID-19 restrictions.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General and administrative expenses increased by $7.4 million, or 40%, from $18.2 million for the year ended December 31, 2020 to $25.6 million for the year ended December 31, 2021. The change was primarily due to an increase of $4.0 million in personnel costs related to share-based compensation and bonus expense, $ 2.1 million in IT costs related to consulting spend, $0.7 million of administrative costs related to an increase in D&amp;O insurance and credit card processing fees and $0.6 million in other consulting, travel and professional fee related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Research and development expenses decreased by $1.3 million, or 14%, from $9.2 million for the year ended December 31, 2020 to $ 7.9 million for the year ended December 31, 2021. The change was primarily due to a decrease of $1.5 million in personnel costs related to salary, severance and share-based compensation expense due to a decrease in headcount, which was offset by $0.2 million increase in professional fees related to consulting expense as the Company continued to incur research and development costs to pursue additional indications and NeuroStar Advanced Therapy System upgrades.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Interest expense decreased by $0.5 million, or 11%, from $4.5 million for the year ended December 31, 2020 to $4.0 million for the year ended December 31, 2021. The decrease in interest expense was due to the loss on extinguishment of debt charge recognized in the first quarter of 2020 as part of the termination of Oxford debt facility. Refer to “Note 12. Debt” in our audited financial statements and related notes thereto appearing elsewhere in this Annual Report on Form 10-K regarding the Oxford debt facility.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Extinguishment of Debt</w:t>
      </w:r>
    </w:p>
    <w:p>
      <w:pPr>
        <w:spacing w:after="0" w:line="230"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Loss on extinguishment of debt was due to our recognition of unamortized debt discount and deferred issuance costs as part of Oxford debt facility extinguishment in the first quarter of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30"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Other income, net increased by $0.1 million, or 29% from ($0.3) million for the year ended December 31, 2020 to ($0.4) million for the year ended December 31, 2021, primarily as a result of increased interest income earned on the Company’s money market accounts and note receivables.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0" w:lineRule="exact"/>
        <w:rPr>
          <w:sz w:val="20"/>
          <w:szCs w:val="20"/>
          <w:color w:val="auto"/>
        </w:rPr>
      </w:pPr>
    </w:p>
    <w:p>
      <w:pPr>
        <w:ind w:left="60" w:right="439"/>
        <w:spacing w:after="0" w:line="274" w:lineRule="auto"/>
        <w:rPr>
          <w:sz w:val="20"/>
          <w:szCs w:val="20"/>
          <w:color w:val="auto"/>
        </w:rPr>
      </w:pPr>
      <w:r>
        <w:rPr>
          <w:rFonts w:ascii="Arial" w:cs="Arial" w:eastAsia="Arial" w:hAnsi="Arial"/>
          <w:sz w:val="17"/>
          <w:szCs w:val="17"/>
          <w:color w:val="auto"/>
        </w:rPr>
        <w:t>The information required within this section is incorporated by reference to the information set forth in the section titled “Comparison of the Years ended December 31, 2020 and 2019” in “Management’s Discussion</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and Analysis of our Financial Condition and Results of Operations” in our 2020 Annual Report on Form 10-K filed on March 2, 2021.</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230" w:lineRule="exact"/>
        <w:rPr>
          <w:sz w:val="20"/>
          <w:szCs w:val="20"/>
          <w:color w:val="auto"/>
        </w:rPr>
      </w:pPr>
    </w:p>
    <w:p>
      <w:pPr>
        <w:ind w:left="60" w:right="219"/>
        <w:spacing w:after="0" w:line="255" w:lineRule="auto"/>
        <w:rPr>
          <w:sz w:val="20"/>
          <w:szCs w:val="20"/>
          <w:color w:val="auto"/>
        </w:rPr>
      </w:pPr>
      <w:r>
        <w:rPr>
          <w:rFonts w:ascii="Arial" w:cs="Arial" w:eastAsia="Arial" w:hAnsi="Arial"/>
          <w:sz w:val="17"/>
          <w:szCs w:val="17"/>
          <w:color w:val="auto"/>
        </w:rPr>
        <w:t>On February 2, 2021, we closed a secondary public offering and sale of our common stock in which we issued and sold 5,566,000 shares of our common stock, which included shares pursuant to an option granted to underwriters to purchase additional shares, at a public offering price of $15.50 per share. We received net proceeds of approximately $80.6 million after deducting underwriting discounts, commissions and estimated offering expenses. Our common stock is listed on the Nasdaq Global Market under the trading symbol “STIM.”</w:t>
      </w:r>
    </w:p>
    <w:p>
      <w:pPr>
        <w:spacing w:after="0" w:line="19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of December 31, 2021, we had cash and cash equivalents of $94.1 million and an accumulated deficit of $308.7 million, compared to cash and cash equivalents of $49.0 million and an accumulated deficit of $277.5 million as of December 31, 2020. We incurred negative cash flows from operating activities of $28.0 million and $28.4 million for the years ended December 31, 2021 and 2020,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facility, sales of our products and a secondary public offering of our common stock. As of December 31, 2021, we had $35.0 million of borrowings outstanding under our credit facility, which has a final maturity in February 2025. Management believes that the Company’s cash and cash equivalents as of December 31, 2021 and anticipated revenues from sales of its products are sufficient to fund the Company’s operations for at least 12 months from the issuance of these financial statements.</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If our cash and cash equivalents and anticipated revenues from sales or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212"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COVID-19 and related governmental responses;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the terms and conditions, including covenants, set forth in our credit facility;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13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 particularly in Japan;</w:t>
      </w:r>
    </w:p>
    <w:p>
      <w:pPr>
        <w:spacing w:after="0" w:line="196" w:lineRule="exact"/>
        <w:rPr>
          <w:rFonts w:ascii="Arial" w:cs="Arial" w:eastAsia="Arial" w:hAnsi="Arial"/>
          <w:sz w:val="18"/>
          <w:szCs w:val="18"/>
          <w:color w:val="auto"/>
        </w:rPr>
      </w:pPr>
    </w:p>
    <w:p>
      <w:pPr>
        <w:ind w:left="720" w:right="53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w:t>
      </w:r>
    </w:p>
    <w:p>
      <w:pPr>
        <w:spacing w:after="0" w:line="196" w:lineRule="exact"/>
        <w:rPr>
          <w:rFonts w:ascii="Arial" w:cs="Arial" w:eastAsia="Arial" w:hAnsi="Arial"/>
          <w:sz w:val="18"/>
          <w:szCs w:val="18"/>
          <w:color w:val="auto"/>
        </w:rPr>
      </w:pPr>
    </w:p>
    <w:p>
      <w:pPr>
        <w:ind w:left="720" w:right="51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96" w:lineRule="exact"/>
        <w:rPr>
          <w:rFonts w:ascii="Arial" w:cs="Arial" w:eastAsia="Arial" w:hAnsi="Arial"/>
          <w:sz w:val="18"/>
          <w:szCs w:val="18"/>
          <w:color w:val="auto"/>
        </w:rPr>
      </w:pPr>
    </w:p>
    <w:p>
      <w:pPr>
        <w:ind w:left="720" w:right="71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of neurohealth disorders;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225" w:lineRule="exact"/>
        <w:rPr>
          <w:rFonts w:ascii="Arial" w:cs="Arial" w:eastAsia="Arial" w:hAnsi="Arial"/>
          <w:sz w:val="18"/>
          <w:szCs w:val="18"/>
          <w:color w:val="auto"/>
        </w:rPr>
      </w:pPr>
    </w:p>
    <w:p>
      <w:pPr>
        <w:ind w:left="720" w:right="83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material cash requirements include the following contractual and other obligations.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As of December 31, 2021, the Company had $35.0 million of borrowings outstanding under the Solar credit facility, which has a final maturity in February 2025 (“maturity”). The interest rate on borrowings under the credit facility is variable and resets monthly. Unless the Company refinances the debt, the Company will commence principal payments on the facility starting in April 2023 with total borrowings of $35.0 million due at maturity. In addition, the Company will make a final payment fee of $ 1.9 million at maturity. Future interest payments related to the facility total $7.6 million, including $3.3 million due within the next twelve months as of December 31, 2021.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Leases</w:t>
      </w:r>
    </w:p>
    <w:p>
      <w:pPr>
        <w:spacing w:after="0" w:line="23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Company has lease arrangements for equipment and certain facilities, including corporate headquarters and our warehouse in Malvern, Pennsylvania and a training facility in Charlotte, North Carolina. As of December 31, 2021, the Company had fixed lease payment obligations of $5.3 million, including $0.7 million due within the next twelve months.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The following table sets forth a summary of our cash flows for the years ended December 31, 2021, 2020, and 2019:</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(27,983)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(28,390)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(9,839)</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(730)</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83,006</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2,369</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1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45,184</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(26,751)</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360"/>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30"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Net cash used in operating activities for 2021 was $28.0 million, consisting primarily of a net loss of $ 31.2 million and an increase in net operating assets of $6.6 million, partially offset by non-cash charges of $9.8 million. The increase in net operating assets was primarily due to increases in accounts receivable, inventory and prepaid commission expense, which were offset by increases in accounts payable and accrued expenses as a result of timing and accrued 2021 compensation and commissions as of December 31, 2021. Non-cash charges consisted of depreciation and amortization, non-cash interest expense, share-based compensation, and the cost of rental units purchased by customers.</w:t>
      </w:r>
    </w:p>
    <w:p>
      <w:pPr>
        <w:spacing w:after="0" w:line="203"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Net cash used in operating activities for 2020 was $28.4 million, consisting primarily of a net loss of $ 27.5 million and an increase in net operating assets of $8.3 million, partially offset by non-cash charges of $7.3 million. The increase in net operating assets was primarily due to an increase in net investment in sales-type leases and prepaid commission expense, which were offset by a decrease in accrued expenses due to timing and the 2020 payments of 2019 incentive compensation and commissions accrued as of December 31, 2019. Non-cash charges consisted of depreciation and amortization, non-cash interest expense, share-based compensation, the cost of rental units purchased by customers, and the loss on debt extinguishment.</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Net cash used in operating activities for 2019 was $30.5 million, consisting primarily of a net loss of $ 29.0 million and an increase in net operating assets of $6.9 million, partially offset by non-cash charges of $5.5 million. The increase in net operating assets was primarily due to an increase in accounts receivable and inventory as a result of higher sales volumes, as well as an increase in prepaid commission expense. Non-cash charges consisted of depreciation and amortization, non-cash interest expense, share-based compensation, and the cost of rental units purchased by customers.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cash used in investing activities for the year ended December 31, 2021, 2020 and 2019 was $9.8 million,</w:t>
      </w:r>
    </w:p>
    <w:p>
      <w:pPr>
        <w:ind w:left="60" w:right="79"/>
        <w:spacing w:after="0" w:line="238" w:lineRule="auto"/>
        <w:rPr>
          <w:sz w:val="20"/>
          <w:szCs w:val="20"/>
          <w:color w:val="auto"/>
        </w:rPr>
      </w:pPr>
      <w:r>
        <w:rPr>
          <w:rFonts w:ascii="Arial" w:cs="Arial" w:eastAsia="Arial" w:hAnsi="Arial"/>
          <w:sz w:val="18"/>
          <w:szCs w:val="18"/>
          <w:color w:val="auto"/>
        </w:rPr>
        <w:t>$0.7 million and $0.8 million, respectively. Net cash used in investing activities for the year ended December 31, 2021 was due to the issuance of our promissory note and purchases of property and equipment and capitalized software costs. Net cash used in investing activities for the year ended December 31, 2020 and 2019 was in each case attributable to purchases of property and equipment and capitalized software costs.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30" w:lineRule="exact"/>
        <w:rPr>
          <w:sz w:val="20"/>
          <w:szCs w:val="20"/>
          <w:color w:val="auto"/>
        </w:rPr>
      </w:pPr>
    </w:p>
    <w:p>
      <w:pPr>
        <w:jc w:val="both"/>
        <w:ind w:left="60" w:right="159"/>
        <w:spacing w:after="0"/>
        <w:rPr>
          <w:sz w:val="20"/>
          <w:szCs w:val="20"/>
          <w:color w:val="auto"/>
        </w:rPr>
      </w:pPr>
      <w:r>
        <w:rPr>
          <w:rFonts w:ascii="Arial" w:cs="Arial" w:eastAsia="Arial" w:hAnsi="Arial"/>
          <w:sz w:val="18"/>
          <w:szCs w:val="18"/>
          <w:color w:val="auto"/>
        </w:rPr>
        <w:t>Net cash provided by financing activities for the year ended December 31 2021 was $83.0 million and primarily consisted of additional proceeds from our secondary public offering and sale of our common stock on February 2, 2021 and cash proceeds related to stock option exercises.</w:t>
      </w:r>
    </w:p>
    <w:p>
      <w:pPr>
        <w:spacing w:after="0" w:line="203" w:lineRule="exact"/>
        <w:rPr>
          <w:sz w:val="20"/>
          <w:szCs w:val="20"/>
          <w:color w:val="auto"/>
        </w:rPr>
      </w:pPr>
    </w:p>
    <w:p>
      <w:pPr>
        <w:jc w:val="both"/>
        <w:ind w:left="60" w:right="139"/>
        <w:spacing w:after="0" w:line="246" w:lineRule="auto"/>
        <w:rPr>
          <w:sz w:val="20"/>
          <w:szCs w:val="20"/>
          <w:color w:val="auto"/>
        </w:rPr>
      </w:pPr>
      <w:r>
        <w:rPr>
          <w:rFonts w:ascii="Arial" w:cs="Arial" w:eastAsia="Arial" w:hAnsi="Arial"/>
          <w:sz w:val="18"/>
          <w:szCs w:val="18"/>
          <w:color w:val="auto"/>
        </w:rPr>
        <w:t>Net cash provided by financing activities for the year ended December 31, 2020 and 2019 was $2.4 million and in each cash attributable primarily to proceeds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34"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Refer to “Note 12. Debt” in our audited financial statements and related notes thereto appearing elsewhere in this Annual Report on Form 10-K for information regarding our current Solar credit facility and extinguished Oxford credit facility.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Solar Credit Facility</w:t>
      </w:r>
    </w:p>
    <w:p>
      <w:pPr>
        <w:spacing w:after="0" w:line="23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Based on a 36-month amortization of the outstanding principal amounts of the Term A Loan beginning on April 1, 2023 as discussed in “Note 12. Debt”, the following table sets forth by year our required future principal payments under the Term A Loan (in thousands):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Principal</w:t>
            </w:r>
          </w:p>
        </w:tc>
      </w:tr>
      <w:tr>
        <w:trPr>
          <w:trHeight w:val="175"/>
        </w:trPr>
        <w:tc>
          <w:tcPr>
            <w:tcW w:w="75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Payments</w:t>
            </w: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13,125</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17,500</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4,375</w:t>
            </w:r>
          </w:p>
        </w:tc>
      </w:tr>
      <w:tr>
        <w:trPr>
          <w:trHeight w:val="202"/>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520" w:type="dxa"/>
            <w:vAlign w:val="bottom"/>
          </w:tcPr>
          <w:p>
            <w:pPr>
              <w:spacing w:after="0" w:line="196" w:lineRule="exact"/>
              <w:rPr>
                <w:sz w:val="20"/>
                <w:szCs w:val="20"/>
                <w:color w:val="auto"/>
              </w:rPr>
            </w:pPr>
            <w:r>
              <w:rPr>
                <w:rFonts w:ascii="Arial" w:cs="Arial" w:eastAsia="Arial" w:hAnsi="Arial"/>
                <w:sz w:val="18"/>
                <w:szCs w:val="18"/>
                <w:color w:val="auto"/>
              </w:rPr>
              <w:t>Total principal payments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35,000</w:t>
            </w: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Offering</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February 2, 2021, we closed a secondary public offering of our common stock in which we issued and sold 5,566,000 shares of our common stock, which included shares pursuant to an option granted to underwriters to purchase additional shares, at a public offering price of $15.50 per share. We received net proceeds of approximately $80.6 million after deducting underwriting discounts, commissions and estimated offering expenses. The Company intends to use the net proceeds of the offering for general corporate purposes, including working capital, research and development, marketing and evaluating new clinical indications.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preparation of our financial statements in accordance with accounting principles generally accepted in the United States, or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3. Summary of Significant Accounting Policies” in our audited financial statements and related notes thereto appearing elsewhere in this Annual Report on Form 10-K, we believe the following discussion addresses our most critical accounting policies.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212"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 xml:space="preserve">On January 1, 2019, we adopted Accounting Standards Codification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using the modified retrospective method. Under ASC 606, we recognize revenue when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promised good or service is transferred to our customers in an amount that reflects the consideration to which we expect to be entitled in exchange for those good or services. Accordingly, we determine revenue recognition by applying the following steps:</w:t>
      </w:r>
    </w:p>
    <w:p>
      <w:pPr>
        <w:spacing w:after="0" w:line="203"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primarily earn revenues from the sale of NeuroStar Advanced Therapy Systems, consumable use treatment sessions, and accessory products. A contract’s transaction price is allocated to each performance obligation and recognized as revenue when, or as, the performance obligation is satisfied, which generally is the point in time when the product is shipped or control is transferred. We sell to end users in the United States and to third-party distributors outside the United States and do not provide return rights. Sales to distributors outside the United States are made in U.S. dollars.</w:t>
      </w:r>
    </w:p>
    <w:p>
      <w:pPr>
        <w:spacing w:after="0" w:line="205"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Revenue attributable to the NeuroStar Advanced Therapy Systems purchased on a rent-to-own basis are accounted for either (1) as operating leases and revenue is recognized on a straight-line basis over the term of the lease; or (2) as a sales-type lease and revenue is recognized upon installation.</w:t>
      </w:r>
    </w:p>
    <w:p>
      <w:pPr>
        <w:spacing w:after="0" w:line="20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Our NeuroStar Advanced Therapy System sales in the United States typically have a post-sale training obligation. This obligation is fulfilled after product shipment, and we defer recognizing revenue until training occurs. We defer the fair value attributable to the post shipment training and recognize such revenue when the obligation is fulfilled. We base the fair value of the training using stand-alone service rates. Our sales to our third-party distributors outside the United States do not have these post-sale obligations.</w:t>
      </w:r>
    </w:p>
    <w:p>
      <w:pPr>
        <w:spacing w:after="0" w:line="202"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 addition, we provide a one year warranty for systems sold in the United States. Terms of product warranty differ amongst our third-party distributors outside the United States, but are generally one year. We provide for the estimated cost to repair or replace products under any warranty at the time of sale. We also offer our customers in the United States annual service contracts. Revenue from the sale of annual service contracts is recognized on a straight-line basis over the period of the applicable contract. We also earn revenue from customers from services outside of their warranty term or annual service contracts. Such service revenue is recognized as the services are provided.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are an “emerging growth company,” as defined in the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avail ourselves of this exemption from complying with new or revised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accounting standards and, therefore, will not be subject to the same new or revised accounting standards as other public companies that are not emerging growth companies.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Subject to certain conditions, as an emerging growth company, we may rely on certain other exemptions and</w:t>
      </w:r>
    </w:p>
    <w:p>
      <w:pPr>
        <w:ind w:left="60"/>
        <w:spacing w:after="0" w:line="234" w:lineRule="auto"/>
        <w:rPr>
          <w:sz w:val="20"/>
          <w:szCs w:val="20"/>
          <w:color w:val="auto"/>
        </w:rPr>
      </w:pPr>
      <w:r>
        <w:rPr>
          <w:rFonts w:ascii="Arial" w:cs="Arial" w:eastAsia="Arial" w:hAnsi="Arial"/>
          <w:sz w:val="18"/>
          <w:szCs w:val="18"/>
          <w:color w:val="auto"/>
        </w:rPr>
        <w:t>reduced reporting requirements under the JOBS Act, including without limitation (i) providing an auditor’s</w:t>
      </w:r>
    </w:p>
    <w:p>
      <w:pPr>
        <w:ind w:left="60"/>
        <w:spacing w:after="0" w:line="235" w:lineRule="auto"/>
        <w:rPr>
          <w:sz w:val="20"/>
          <w:szCs w:val="20"/>
          <w:color w:val="auto"/>
        </w:rPr>
      </w:pPr>
      <w:r>
        <w:rPr>
          <w:rFonts w:ascii="Arial" w:cs="Arial" w:eastAsia="Arial" w:hAnsi="Arial"/>
          <w:sz w:val="18"/>
          <w:szCs w:val="18"/>
          <w:color w:val="auto"/>
        </w:rPr>
        <w:t>attestation report on our system of internal controls over financial reporting pursuant to Section 404(b) of the</w:t>
      </w:r>
    </w:p>
    <w:p>
      <w:pPr>
        <w:ind w:left="60"/>
        <w:spacing w:after="0" w:line="235" w:lineRule="auto"/>
        <w:rPr>
          <w:sz w:val="20"/>
          <w:szCs w:val="20"/>
          <w:color w:val="auto"/>
        </w:rPr>
      </w:pPr>
      <w:r>
        <w:rPr>
          <w:rFonts w:ascii="Arial" w:cs="Arial" w:eastAsia="Arial" w:hAnsi="Arial"/>
          <w:sz w:val="18"/>
          <w:szCs w:val="18"/>
          <w:color w:val="auto"/>
        </w:rPr>
        <w:t>Sarbanes-Oxley Act and (ii) complying with any requirement that may be adopted by the Public Company</w:t>
      </w:r>
    </w:p>
    <w:p>
      <w:pPr>
        <w:ind w:left="60"/>
        <w:spacing w:after="0" w:line="235" w:lineRule="auto"/>
        <w:rPr>
          <w:sz w:val="20"/>
          <w:szCs w:val="20"/>
          <w:color w:val="auto"/>
        </w:rPr>
      </w:pPr>
      <w:r>
        <w:rPr>
          <w:rFonts w:ascii="Arial" w:cs="Arial" w:eastAsia="Arial" w:hAnsi="Arial"/>
          <w:sz w:val="18"/>
          <w:szCs w:val="18"/>
          <w:color w:val="auto"/>
        </w:rPr>
        <w:t>Accounting Oversight Board regarding mandatory audit firm rotation or a supplement to the auditor’s report</w:t>
      </w:r>
    </w:p>
    <w:p>
      <w:pPr>
        <w:ind w:left="60"/>
        <w:spacing w:after="0" w:line="235" w:lineRule="auto"/>
        <w:rPr>
          <w:sz w:val="20"/>
          <w:szCs w:val="20"/>
          <w:color w:val="auto"/>
        </w:rPr>
      </w:pPr>
      <w:r>
        <w:rPr>
          <w:rFonts w:ascii="Arial" w:cs="Arial" w:eastAsia="Arial" w:hAnsi="Arial"/>
          <w:sz w:val="18"/>
          <w:szCs w:val="18"/>
          <w:color w:val="auto"/>
        </w:rPr>
        <w:t>providing additional information about the audit and the financial statements, known as the auditor discussion</w:t>
      </w:r>
    </w:p>
    <w:p>
      <w:pPr>
        <w:ind w:left="60"/>
        <w:spacing w:after="0" w:line="234" w:lineRule="auto"/>
        <w:rPr>
          <w:sz w:val="20"/>
          <w:szCs w:val="20"/>
          <w:color w:val="auto"/>
        </w:rPr>
      </w:pPr>
      <w:r>
        <w:rPr>
          <w:rFonts w:ascii="Arial" w:cs="Arial" w:eastAsia="Arial" w:hAnsi="Arial"/>
          <w:sz w:val="18"/>
          <w:szCs w:val="18"/>
          <w:color w:val="auto"/>
        </w:rPr>
        <w:t>and analysis. We will remain an emerging growth company until the earlier of (a) the last day of the fiscal year</w:t>
      </w:r>
    </w:p>
    <w:p>
      <w:pPr>
        <w:ind w:left="60"/>
        <w:spacing w:after="0" w:line="235" w:lineRule="auto"/>
        <w:rPr>
          <w:sz w:val="20"/>
          <w:szCs w:val="20"/>
          <w:color w:val="auto"/>
        </w:rPr>
      </w:pPr>
      <w:r>
        <w:rPr>
          <w:rFonts w:ascii="Arial" w:cs="Arial" w:eastAsia="Arial" w:hAnsi="Arial"/>
          <w:sz w:val="18"/>
          <w:szCs w:val="18"/>
          <w:color w:val="auto"/>
        </w:rPr>
        <w:t>in which we have total annual gross revenue of $1.07 billion or more; (b) the last day of the fiscal year following</w:t>
      </w:r>
    </w:p>
    <w:p>
      <w:pPr>
        <w:ind w:left="60"/>
        <w:spacing w:after="0" w:line="235" w:lineRule="auto"/>
        <w:rPr>
          <w:sz w:val="20"/>
          <w:szCs w:val="20"/>
          <w:color w:val="auto"/>
        </w:rPr>
      </w:pPr>
      <w:r>
        <w:rPr>
          <w:rFonts w:ascii="Arial" w:cs="Arial" w:eastAsia="Arial" w:hAnsi="Arial"/>
          <w:sz w:val="18"/>
          <w:szCs w:val="18"/>
          <w:color w:val="auto"/>
        </w:rPr>
        <w:t>the fifth anniversary of the date of the completion of our IPO; (c) the date on which we have issued more than</w:t>
      </w:r>
    </w:p>
    <w:p>
      <w:pPr>
        <w:ind w:left="60"/>
        <w:spacing w:after="0"/>
        <w:rPr>
          <w:sz w:val="20"/>
          <w:szCs w:val="20"/>
          <w:color w:val="auto"/>
        </w:rPr>
      </w:pPr>
      <w:r>
        <w:rPr>
          <w:rFonts w:ascii="Arial" w:cs="Arial" w:eastAsia="Arial" w:hAnsi="Arial"/>
          <w:sz w:val="17"/>
          <w:szCs w:val="17"/>
          <w:color w:val="auto"/>
        </w:rPr>
        <w:t>$1.0 billion in nonconvertible debt during the previous six years; or (d) the date on which we are deemed to be a</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large accelerated filer under the rules of the SEC.</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We refer you to “Note 4. Recent Accounting Pronouncements” in our audited financial statements and related notes thereto included elsewhere in this Annual Report on Form 10-K.</w:t>
      </w:r>
    </w:p>
    <w:p>
      <w:pPr>
        <w:spacing w:after="0" w:line="16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20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202" w:lineRule="exact"/>
        <w:rPr>
          <w:sz w:val="20"/>
          <w:szCs w:val="20"/>
          <w:color w:val="auto"/>
        </w:rPr>
      </w:pPr>
    </w:p>
    <w:p>
      <w:pPr>
        <w:ind w:left="60" w:right="279"/>
        <w:spacing w:after="0" w:line="248" w:lineRule="auto"/>
        <w:rPr>
          <w:sz w:val="20"/>
          <w:szCs w:val="20"/>
          <w:color w:val="auto"/>
        </w:rPr>
      </w:pPr>
      <w:r>
        <w:rPr>
          <w:rFonts w:ascii="Arial" w:cs="Arial" w:eastAsia="Arial" w:hAnsi="Arial"/>
          <w:sz w:val="17"/>
          <w:szCs w:val="17"/>
          <w:color w:val="auto"/>
        </w:rPr>
        <w:t>As discussed in “Note 12. Debt” in our audited financial statements and related notes thereto appearing elsewhere in of this Annual Report on Form 10-K, our credit facility bears interest at 7.65% plus the greater of</w:t>
      </w:r>
    </w:p>
    <w:p>
      <w:pPr>
        <w:spacing w:after="0" w:line="1" w:lineRule="exact"/>
        <w:rPr>
          <w:sz w:val="20"/>
          <w:szCs w:val="20"/>
          <w:color w:val="auto"/>
        </w:rPr>
      </w:pPr>
    </w:p>
    <w:p>
      <w:pPr>
        <w:ind w:left="60" w:right="239" w:hanging="10"/>
        <w:spacing w:after="0" w:line="238" w:lineRule="auto"/>
        <w:tabs>
          <w:tab w:leader="none" w:pos="3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1.66% or (b) the rate per annum rate published by the Intercontinental Exchange Benchmark Administration Ltd. As a result, we are exposed to risks from changes in interest rates. We believe that a one-point increase in interest rates would result in an approximate $0.4 million increase to our interest expense for the year ended December 31, 2021.</w:t>
      </w:r>
    </w:p>
    <w:p>
      <w:pPr>
        <w:spacing w:after="0" w:line="205" w:lineRule="exact"/>
        <w:rPr>
          <w:sz w:val="20"/>
          <w:szCs w:val="20"/>
          <w:color w:val="auto"/>
        </w:rPr>
      </w:pPr>
    </w:p>
    <w:p>
      <w:pPr>
        <w:ind w:left="60" w:right="199"/>
        <w:spacing w:after="0" w:line="255" w:lineRule="auto"/>
        <w:rPr>
          <w:sz w:val="20"/>
          <w:szCs w:val="20"/>
          <w:color w:val="auto"/>
        </w:rPr>
      </w:pPr>
      <w:r>
        <w:rPr>
          <w:rFonts w:ascii="Arial" w:cs="Arial" w:eastAsia="Arial" w:hAnsi="Arial"/>
          <w:sz w:val="17"/>
          <w:szCs w:val="17"/>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90"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auto"/>
        </w:rPr>
        <w:t>We do not currently have any exposure to foreign currency fluctuations and do not engage in any hedging activities as part of our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8.</w:t>
        <w:tab/>
        <w:t>Financial Statements and Supplementary Data.</w:t>
      </w:r>
    </w:p>
    <w:p>
      <w:pPr>
        <w:spacing w:after="0" w:line="234"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The financial statements listed in the Index to Financial Statements beginning on page F-1 are filed as part of this Annual Report on Form 10-K and incorporated by reference herein.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as of December 31, 2021 at the reasonable assurance level.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as such term is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December 31, 2021 at the reasonable assurance level.</w:t>
      </w:r>
    </w:p>
    <w:p>
      <w:pPr>
        <w:spacing w:after="0" w:line="207" w:lineRule="exact"/>
        <w:rPr>
          <w:sz w:val="20"/>
          <w:szCs w:val="20"/>
          <w:color w:val="auto"/>
        </w:rPr>
      </w:pPr>
    </w:p>
    <w:p>
      <w:pPr>
        <w:ind w:left="60" w:right="579"/>
        <w:spacing w:after="0"/>
        <w:rPr>
          <w:sz w:val="20"/>
          <w:szCs w:val="20"/>
          <w:color w:val="auto"/>
        </w:rPr>
      </w:pPr>
      <w:r>
        <w:rPr>
          <w:rFonts w:ascii="Arial" w:cs="Arial" w:eastAsia="Arial" w:hAnsi="Arial"/>
          <w:sz w:val="18"/>
          <w:szCs w:val="18"/>
          <w:color w:val="auto"/>
        </w:rPr>
        <w:t>This Annual Report on Form 10 -K does not include an attestation report of internal control over financial reporting from our independent registered public accounting firm due to our status as an emerging growth company under the JOBS Act.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ind w:left="60" w:right="759"/>
        <w:spacing w:after="0"/>
        <w:rPr>
          <w:sz w:val="20"/>
          <w:szCs w:val="20"/>
          <w:color w:val="auto"/>
        </w:rPr>
      </w:pPr>
      <w:r>
        <w:rPr>
          <w:rFonts w:ascii="Arial" w:cs="Arial" w:eastAsia="Arial" w:hAnsi="Arial"/>
          <w:sz w:val="18"/>
          <w:szCs w:val="18"/>
          <w:color w:val="auto"/>
        </w:rPr>
        <w:t>During the fourth quarter ended December 31, 2021, there were no changes in our internal control over financial reporting (as defined in Rule 13a-15(f) of the Exchange Act) which materially affected, or are reasonably likely to materially affect, our internal control over financial reporting.</w:t>
      </w:r>
    </w:p>
    <w:p>
      <w:pPr>
        <w:spacing w:after="0" w:line="167"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right="2199"/>
        <w:spacing w:after="0" w:line="475"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4"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“Proposal 1 - Election of Directors,” “Information Regarding the Board of Directors and Corporate Governance” and “Executive Officers of the Company” contained in “Delinquent Section 16(a) Reports” in our 2022 Proxy Statement.</w:t>
      </w:r>
    </w:p>
    <w:p>
      <w:pPr>
        <w:spacing w:after="0" w:line="169"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47"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Compensation” in our 2022 Proxy Statement.</w:t>
      </w:r>
    </w:p>
    <w:p>
      <w:pPr>
        <w:spacing w:after="0" w:line="161" w:lineRule="exact"/>
        <w:rPr>
          <w:sz w:val="20"/>
          <w:szCs w:val="20"/>
          <w:color w:val="auto"/>
        </w:rPr>
      </w:pPr>
    </w:p>
    <w:p>
      <w:pPr>
        <w:ind w:left="60" w:right="259"/>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1"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“Security Ownership of Certain Beneficial Owners and Management” and “Executive Compensation” in our 2022 Proxy Statement.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“Transactions with Related Persons” and “Information regarding the Board of Directors and Corporate Governance” in our 2022 Proxy Statement.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“Principal Accountant Fees and Services” contained in “Proposal 2 – Ratification of Selection of Independent Registered Public Accounting Firm” in our 2022 Proxy Statement.</w:t>
      </w:r>
    </w:p>
    <w:p>
      <w:pPr>
        <w:spacing w:after="0" w:line="16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(a)(1) Financial Statements</w:t>
      </w:r>
    </w:p>
    <w:p>
      <w:pPr>
        <w:spacing w:after="0" w:line="230"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The financial statements listed in the Index to Financial Statements beginning on page F-1 are filed as part of this Annual Report on Form 10-K.</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(a)(2) Financial Statement Schedules</w:t>
      </w:r>
    </w:p>
    <w:p>
      <w:pPr>
        <w:spacing w:after="0" w:line="230"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Financial Statements or Notes listed in the Index to Financial Statements beginning on page F-1.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 Exhibits</w:t>
      </w:r>
    </w:p>
    <w:p>
      <w:pPr>
        <w:spacing w:after="0" w:line="230"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The exhibits listed in the Exhibit Index below are filed or incorporated by reference as part of this Annual Report.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019"/>
          </w:cols>
          <w:pgMar w:left="1440" w:top="517" w:right="1440" w:bottom="1440" w:gutter="0" w:footer="0" w:header="0"/>
        </w:sect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Number</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ind w:right="3179"/>
        <w:spacing w:after="0"/>
        <w:rPr>
          <w:sz w:val="20"/>
          <w:szCs w:val="20"/>
          <w:color w:val="auto"/>
        </w:rPr>
      </w:pPr>
      <w:r>
        <w:rPr>
          <w:rFonts w:ascii="Arial" w:cs="Arial" w:eastAsia="Arial" w:hAnsi="Arial"/>
          <w:sz w:val="17"/>
          <w:szCs w:val="17"/>
          <w:b w:val="1"/>
          <w:bCs w:val="1"/>
          <w:color w:val="auto"/>
        </w:rPr>
        <w:t>Description of Exhibit</w:t>
      </w:r>
    </w:p>
    <w:p>
      <w:pPr>
        <w:spacing w:after="0" w:line="222" w:lineRule="exact"/>
        <w:rPr>
          <w:sz w:val="20"/>
          <w:szCs w:val="20"/>
          <w:color w:val="auto"/>
        </w:rPr>
      </w:pPr>
    </w:p>
    <w:p>
      <w:pPr>
        <w:sectPr>
          <w:pgSz w:w="11900" w:h="16838" w:orient="portrait"/>
          <w:cols w:equalWidth="0" w:num="2">
            <w:col w:w="3260" w:space="720"/>
            <w:col w:w="5039"/>
          </w:cols>
          <w:pgMar w:left="1440" w:top="517" w:right="1440" w:bottom="1440" w:gutter="0" w:footer="0" w:header="0"/>
          <w:type w:val="continuous"/>
        </w:sectPr>
      </w:pPr>
    </w:p>
    <w:p>
      <w:pPr>
        <w:spacing w:after="0" w:line="10" w:lineRule="exact"/>
        <w:rPr>
          <w:sz w:val="20"/>
          <w:szCs w:val="20"/>
          <w:color w:val="auto"/>
        </w:rPr>
      </w:pPr>
    </w:p>
    <w:p>
      <w:pPr>
        <w:ind w:left="880" w:right="79" w:hanging="822"/>
        <w:spacing w:after="0" w:line="23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5">
        <w:r>
          <w:rPr>
            <w:rFonts w:ascii="Arial" w:cs="Arial" w:eastAsia="Arial" w:hAnsi="Arial"/>
            <w:sz w:val="18"/>
            <w:szCs w:val="18"/>
            <w:u w:val="single" w:color="auto"/>
            <w:color w:val="0000EE"/>
          </w:rPr>
          <w:t>Ninth Amended and Restated Certificate of Incorporation of the Registrant (incorporated by reference</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to Exhibit 3.1 to the Form 8-K filed July 6, 2018)</w:t>
        </w:r>
      </w:hyperlink>
    </w:p>
    <w:p>
      <w:pPr>
        <w:spacing w:after="0" w:line="1" w:lineRule="exact"/>
        <w:rPr>
          <w:sz w:val="20"/>
          <w:szCs w:val="20"/>
          <w:color w:val="auto"/>
        </w:rPr>
      </w:pPr>
    </w:p>
    <w:p>
      <w:pPr>
        <w:ind w:left="880" w:right="959" w:hanging="822"/>
        <w:spacing w:after="0" w:line="248" w:lineRule="auto"/>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96">
        <w:r>
          <w:rPr>
            <w:rFonts w:ascii="Arial" w:cs="Arial" w:eastAsia="Arial" w:hAnsi="Arial"/>
            <w:sz w:val="17"/>
            <w:szCs w:val="17"/>
            <w:u w:val="single" w:color="auto"/>
            <w:color w:val="0000EE"/>
          </w:rPr>
          <w:t>Certificate of Amendment to the Registrant’s Ninth Amended and Restated Certificate of</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Incorporation (incorporated by reference to Exhibit 3.1 to the Form 8-K filed May 30, 2019)</w:t>
        </w:r>
      </w:hyperlink>
    </w:p>
    <w:p>
      <w:pPr>
        <w:spacing w:after="0" w:line="1" w:lineRule="exact"/>
        <w:rPr>
          <w:sz w:val="20"/>
          <w:szCs w:val="20"/>
          <w:color w:val="auto"/>
        </w:rPr>
      </w:pPr>
    </w:p>
    <w:p>
      <w:pPr>
        <w:ind w:left="880" w:right="139" w:hanging="822"/>
        <w:spacing w:after="0" w:line="23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97">
        <w:r>
          <w:rPr>
            <w:rFonts w:ascii="Arial" w:cs="Arial" w:eastAsia="Arial" w:hAnsi="Arial"/>
            <w:sz w:val="18"/>
            <w:szCs w:val="18"/>
            <w:u w:val="single" w:color="auto"/>
            <w:color w:val="0000EE"/>
          </w:rPr>
          <w:t>Second Amended and Restated Bylaws of the Registrant (incorporated by reference to Exhibit 3.2 to</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the Form 8-K filed July 6, 2018)</w:t>
        </w:r>
      </w:hyperlink>
    </w:p>
    <w:p>
      <w:pPr>
        <w:spacing w:after="0" w:line="1" w:lineRule="exact"/>
        <w:rPr>
          <w:sz w:val="20"/>
          <w:szCs w:val="20"/>
          <w:color w:val="auto"/>
        </w:rPr>
      </w:pPr>
    </w:p>
    <w:p>
      <w:pPr>
        <w:ind w:left="880" w:right="699" w:hanging="822"/>
        <w:spacing w:after="0" w:line="23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98">
        <w:r>
          <w:rPr>
            <w:rFonts w:ascii="Arial" w:cs="Arial" w:eastAsia="Arial" w:hAnsi="Arial"/>
            <w:sz w:val="18"/>
            <w:szCs w:val="18"/>
            <w:u w:val="single" w:color="auto"/>
            <w:color w:val="0000EE"/>
          </w:rPr>
          <w:t>First Amendment to the Registrant’s Second Amended and Restated Bylaws (incorporated by</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reference to Exhibit 3.2 to the Form 8-K filed May 30, 2019)</w:t>
        </w:r>
      </w:hyperlink>
    </w:p>
    <w:p>
      <w:pPr>
        <w:spacing w:after="0" w:line="1" w:lineRule="exact"/>
        <w:rPr>
          <w:sz w:val="20"/>
          <w:szCs w:val="20"/>
          <w:color w:val="auto"/>
        </w:rPr>
      </w:pPr>
    </w:p>
    <w:p>
      <w:pPr>
        <w:ind w:left="880" w:right="799" w:hanging="822"/>
        <w:spacing w:after="0" w:line="23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99">
        <w:r>
          <w:rPr>
            <w:rFonts w:ascii="Arial" w:cs="Arial" w:eastAsia="Arial" w:hAnsi="Arial"/>
            <w:sz w:val="18"/>
            <w:szCs w:val="18"/>
            <w:u w:val="single" w:color="auto"/>
            <w:color w:val="0000EE"/>
          </w:rPr>
          <w:t>Certificate of Elimination of Series A Junior Participating Preferred Stock of Neuronetics, Inc.</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(incorporated by reference to Exhibit 3.1 to the Form 8-K filed April 9, 2021)</w:t>
        </w:r>
      </w:hyperlink>
    </w:p>
    <w:p>
      <w:pPr>
        <w:spacing w:after="0" w:line="1" w:lineRule="exact"/>
        <w:rPr>
          <w:sz w:val="20"/>
          <w:szCs w:val="20"/>
          <w:color w:val="auto"/>
        </w:rPr>
      </w:pPr>
    </w:p>
    <w:p>
      <w:pPr>
        <w:ind w:left="880" w:right="339" w:hanging="822"/>
        <w:spacing w:after="0"/>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00">
        <w:r>
          <w:rPr>
            <w:rFonts w:ascii="Arial" w:cs="Arial" w:eastAsia="Arial" w:hAnsi="Arial"/>
            <w:sz w:val="18"/>
            <w:szCs w:val="18"/>
            <w:u w:val="single" w:color="auto"/>
            <w:color w:val="0000EE"/>
          </w:rPr>
          <w:t>Specimen Stock Certificate evidencing shares of common stock of the Registrant (incorporated by</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reference to Exhibit 4.1 to the Registrant’s Registration Statement on Form S-1 (File No. 333-</w:t>
        </w:r>
      </w:hyperlink>
      <w:hyperlink r:id="rId100">
        <w:r>
          <w:rPr>
            <w:rFonts w:ascii="Arial" w:cs="Arial" w:eastAsia="Arial" w:hAnsi="Arial"/>
            <w:sz w:val="18"/>
            <w:szCs w:val="18"/>
            <w:u w:val="single" w:color="auto"/>
            <w:color w:val="0000EE"/>
          </w:rPr>
          <w:t>225307))</w:t>
        </w:r>
      </w:hyperlink>
    </w:p>
    <w:p>
      <w:pPr>
        <w:spacing w:after="0" w:line="200" w:lineRule="exact"/>
        <w:rPr>
          <w:rFonts w:ascii="Arial" w:cs="Arial" w:eastAsia="Arial" w:hAnsi="Arial"/>
          <w:sz w:val="18"/>
          <w:szCs w:val="18"/>
          <w:u w:val="single" w:color="auto"/>
          <w:color w:val="0000EE"/>
        </w:rPr>
      </w:pPr>
    </w:p>
    <w:p>
      <w:pPr>
        <w:spacing w:after="0" w:line="21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80" w:right="359" w:hanging="822"/>
        <w:spacing w:after="0" w:line="23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02">
        <w:r>
          <w:rPr>
            <w:rFonts w:ascii="Arial" w:cs="Arial" w:eastAsia="Arial" w:hAnsi="Arial"/>
            <w:sz w:val="18"/>
            <w:szCs w:val="18"/>
            <w:u w:val="single" w:color="auto"/>
            <w:color w:val="0000EE"/>
          </w:rPr>
          <w:t>Form of Warrant to Purchase Stock, by and between the Registrant and Oxford Finance LLC</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(incorporated by reference to Exhibit 4.2 to the Registration Statement on Form S-1 (File No. 333-</w:t>
        </w:r>
      </w:hyperlink>
      <w:hyperlink r:id="rId102">
        <w:r>
          <w:rPr>
            <w:rFonts w:ascii="Arial" w:cs="Arial" w:eastAsia="Arial" w:hAnsi="Arial"/>
            <w:sz w:val="18"/>
            <w:szCs w:val="18"/>
            <w:u w:val="single" w:color="auto"/>
            <w:color w:val="0000EE"/>
          </w:rPr>
          <w:t>225307))</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r:id="rId103">
        <w:r>
          <w:rPr>
            <w:rFonts w:ascii="Arial" w:cs="Arial" w:eastAsia="Arial" w:hAnsi="Arial"/>
            <w:sz w:val="17"/>
            <w:szCs w:val="17"/>
            <w:u w:val="single" w:color="auto"/>
            <w:color w:val="0000EE"/>
          </w:rPr>
          <w:t>Warrant to Purchase Stock, by and between the Registrant and Comerica Bank, dated December 20,</w:t>
        </w:r>
      </w:hyperlink>
    </w:p>
    <w:p>
      <w:pPr>
        <w:ind w:left="880"/>
        <w:spacing w:after="0" w:line="235"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2012 (incorporated by reference to Exhibit 4.3 to the Registration Statement on Form S-1 (File No.</w:t>
        </w:r>
      </w:hyperlink>
    </w:p>
    <w:p>
      <w:pPr>
        <w:ind w:left="880"/>
        <w:spacing w:after="0" w:line="234"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333-225307))</w:t>
        </w:r>
      </w:hyperlink>
    </w:p>
    <w:p>
      <w:pPr>
        <w:spacing w:after="0" w:line="1" w:lineRule="exact"/>
        <w:rPr>
          <w:rFonts w:ascii="Arial" w:cs="Arial" w:eastAsia="Arial" w:hAnsi="Arial"/>
          <w:sz w:val="18"/>
          <w:szCs w:val="18"/>
          <w:u w:val="single" w:color="auto"/>
          <w:color w:val="0000EE"/>
        </w:rPr>
      </w:pPr>
    </w:p>
    <w:p>
      <w:pPr>
        <w:ind w:left="880" w:right="179" w:hanging="822"/>
        <w:spacing w:after="0" w:line="23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04">
        <w:r>
          <w:rPr>
            <w:rFonts w:ascii="Arial" w:cs="Arial" w:eastAsia="Arial" w:hAnsi="Arial"/>
            <w:sz w:val="18"/>
            <w:szCs w:val="18"/>
            <w:u w:val="single" w:color="auto"/>
            <w:color w:val="0000EE"/>
          </w:rPr>
          <w:t>Description of the Registrant’s Securities Registered Pursuant to Section 12 of the Securities</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Exchange Act of 1934 (incorporated by reference to Exhibit 4.4 to the Registrant's Annual Report on</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Form 10-K filed on March 3, 2020)</w:t>
        </w:r>
      </w:hyperlink>
    </w:p>
    <w:p>
      <w:pPr>
        <w:spacing w:after="0" w:line="2" w:lineRule="exact"/>
        <w:rPr>
          <w:rFonts w:ascii="Arial" w:cs="Arial" w:eastAsia="Arial" w:hAnsi="Arial"/>
          <w:sz w:val="18"/>
          <w:szCs w:val="18"/>
          <w:u w:val="single" w:color="auto"/>
          <w:color w:val="0000EE"/>
        </w:rPr>
      </w:pPr>
    </w:p>
    <w:p>
      <w:pPr>
        <w:ind w:left="880" w:right="99" w:hanging="822"/>
        <w:spacing w:after="0" w:line="23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05">
        <w:r>
          <w:rPr>
            <w:rFonts w:ascii="Arial" w:cs="Arial" w:eastAsia="Arial" w:hAnsi="Arial"/>
            <w:sz w:val="18"/>
            <w:szCs w:val="18"/>
            <w:u w:val="single" w:color="auto"/>
            <w:color w:val="0000EE"/>
          </w:rPr>
          <w:t>Distribution Agreement, by and between the Registrant and Teijin Pharma Limited, dated October 12,</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2017 (incorporated by reference to Exhibit 10.1 to the Registrant’s Registration Statement on Form</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S-1 (File No. 333-225307))</w:t>
        </w:r>
      </w:hyperlink>
    </w:p>
    <w:p>
      <w:pPr>
        <w:spacing w:after="0" w:line="2" w:lineRule="exact"/>
        <w:rPr>
          <w:rFonts w:ascii="Arial" w:cs="Arial" w:eastAsia="Arial" w:hAnsi="Arial"/>
          <w:sz w:val="18"/>
          <w:szCs w:val="18"/>
          <w:u w:val="single" w:color="auto"/>
          <w:color w:val="0000EE"/>
        </w:rPr>
      </w:pPr>
    </w:p>
    <w:p>
      <w:pPr>
        <w:jc w:val="both"/>
        <w:ind w:left="880" w:right="179" w:hanging="822"/>
        <w:spacing w:after="0" w:line="23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06">
        <w:r>
          <w:rPr>
            <w:rFonts w:ascii="Arial" w:cs="Arial" w:eastAsia="Arial" w:hAnsi="Arial"/>
            <w:sz w:val="18"/>
            <w:szCs w:val="18"/>
            <w:u w:val="single" w:color="auto"/>
            <w:color w:val="0000EE"/>
          </w:rPr>
          <w:t>Sixth Amended and Restated Investors’ Rights Agreement by and among the Registrant and certain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of its stockholders, dated June 1, 2017 (incorporated by reference to Exhibit 10.2 to the Registrant’s</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Registration Statement on Form S-1 (File No. 333-225307))</w:t>
        </w:r>
      </w:hyperlink>
    </w:p>
    <w:p>
      <w:pPr>
        <w:spacing w:after="0" w:line="2" w:lineRule="exact"/>
        <w:rPr>
          <w:rFonts w:ascii="Arial" w:cs="Arial" w:eastAsia="Arial" w:hAnsi="Arial"/>
          <w:sz w:val="18"/>
          <w:szCs w:val="18"/>
          <w:u w:val="single" w:color="auto"/>
          <w:color w:val="0000EE"/>
        </w:rPr>
      </w:pPr>
    </w:p>
    <w:p>
      <w:pPr>
        <w:ind w:left="880" w:right="239"/>
        <w:spacing w:after="0" w:line="248" w:lineRule="auto"/>
        <w:rPr>
          <w:rFonts w:ascii="Arial" w:cs="Arial" w:eastAsia="Arial" w:hAnsi="Arial"/>
          <w:sz w:val="17"/>
          <w:szCs w:val="17"/>
          <w:u w:val="single" w:color="auto"/>
          <w:color w:val="0000EE"/>
        </w:rPr>
      </w:pPr>
      <w:hyperlink r:id="rId107">
        <w:r>
          <w:rPr>
            <w:rFonts w:ascii="Arial" w:cs="Arial" w:eastAsia="Arial" w:hAnsi="Arial"/>
            <w:sz w:val="17"/>
            <w:szCs w:val="17"/>
            <w:u w:val="single" w:color="auto"/>
            <w:color w:val="0000EE"/>
          </w:rPr>
          <w:t>Sixth Amended and Restated Stockholders’ Agreement by and among the Registrant and certain of</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its stockholders, dated June 1, 2017 (incorporated by reference to Exhibit 10.3 to the Registrant’s</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10.3</w:t>
      </w:r>
      <w:r>
        <w:rPr>
          <w:sz w:val="20"/>
          <w:szCs w:val="20"/>
          <w:color w:val="auto"/>
        </w:rPr>
        <w:tab/>
      </w:r>
      <w:hyperlink r:id="rId107">
        <w:r>
          <w:rPr>
            <w:rFonts w:ascii="Arial" w:cs="Arial" w:eastAsia="Arial" w:hAnsi="Arial"/>
            <w:sz w:val="17"/>
            <w:szCs w:val="17"/>
            <w:u w:val="single" w:color="auto"/>
            <w:color w:val="0000EE"/>
          </w:rPr>
          <w:t>Registration Statement on Form S-1 (File No. 333-225307))</w:t>
        </w:r>
      </w:hyperlink>
    </w:p>
    <w:p>
      <w:pPr>
        <w:spacing w:after="0" w:line="1" w:lineRule="exact"/>
        <w:rPr>
          <w:sz w:val="20"/>
          <w:szCs w:val="20"/>
          <w:color w:val="auto"/>
        </w:rPr>
      </w:pPr>
    </w:p>
    <w:p>
      <w:pPr>
        <w:ind w:left="880" w:right="279" w:hanging="822"/>
        <w:spacing w:after="0" w:line="23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08">
        <w:r>
          <w:rPr>
            <w:rFonts w:ascii="Arial" w:cs="Arial" w:eastAsia="Arial" w:hAnsi="Arial"/>
            <w:sz w:val="18"/>
            <w:szCs w:val="18"/>
            <w:u w:val="single" w:color="auto"/>
            <w:color w:val="0000EE"/>
          </w:rPr>
          <w:t>Offer Letter, dated August 11, 2016, by and between the Registrant and Greg Harper (incorporated</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by reference to Exhibit 10.5 to the Registrant’s Registration Statement on Form S-1 (File No. 333-</w:t>
        </w:r>
      </w:hyperlink>
      <w:hyperlink r:id="rId108">
        <w:r>
          <w:rPr>
            <w:rFonts w:ascii="Arial" w:cs="Arial" w:eastAsia="Arial" w:hAnsi="Arial"/>
            <w:sz w:val="18"/>
            <w:szCs w:val="18"/>
            <w:u w:val="single" w:color="auto"/>
            <w:color w:val="0000EE"/>
          </w:rPr>
          <w:t>225307))</w:t>
        </w:r>
      </w:hyperlink>
    </w:p>
    <w:p>
      <w:pPr>
        <w:spacing w:after="0" w:line="2" w:lineRule="exact"/>
        <w:rPr>
          <w:rFonts w:ascii="Arial" w:cs="Arial" w:eastAsia="Arial" w:hAnsi="Arial"/>
          <w:sz w:val="18"/>
          <w:szCs w:val="18"/>
          <w:u w:val="single" w:color="auto"/>
          <w:color w:val="0000EE"/>
        </w:rPr>
      </w:pPr>
    </w:p>
    <w:p>
      <w:pPr>
        <w:ind w:left="880" w:right="119"/>
        <w:spacing w:after="0" w:line="248" w:lineRule="auto"/>
        <w:rPr>
          <w:rFonts w:ascii="Arial" w:cs="Arial" w:eastAsia="Arial" w:hAnsi="Arial"/>
          <w:sz w:val="17"/>
          <w:szCs w:val="17"/>
          <w:u w:val="single" w:color="auto"/>
          <w:color w:val="0000EE"/>
        </w:rPr>
      </w:pPr>
      <w:hyperlink r:id="rId109">
        <w:r>
          <w:rPr>
            <w:rFonts w:ascii="Arial" w:cs="Arial" w:eastAsia="Arial" w:hAnsi="Arial"/>
            <w:sz w:val="17"/>
            <w:szCs w:val="17"/>
            <w:u w:val="single" w:color="auto"/>
            <w:color w:val="0000EE"/>
          </w:rPr>
          <w:t>Form of Indemnification Agreement between the Registrant and its non-employee directors and</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officers (incorporated by reference to Exhibit 10.7 to the Registrant’s Registration Statement on Form</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10.5</w:t>
      </w:r>
      <w:r>
        <w:rPr>
          <w:sz w:val="20"/>
          <w:szCs w:val="20"/>
          <w:color w:val="auto"/>
        </w:rPr>
        <w:tab/>
      </w:r>
      <w:hyperlink r:id="rId109">
        <w:r>
          <w:rPr>
            <w:rFonts w:ascii="Arial" w:cs="Arial" w:eastAsia="Arial" w:hAnsi="Arial"/>
            <w:sz w:val="17"/>
            <w:szCs w:val="17"/>
            <w:u w:val="single" w:color="auto"/>
            <w:color w:val="0000EE"/>
          </w:rPr>
          <w:t>S-1 (File No. 333-225307))</w:t>
        </w:r>
      </w:hyperlink>
    </w:p>
    <w:p>
      <w:pPr>
        <w:spacing w:after="0" w:line="1" w:lineRule="exact"/>
        <w:rPr>
          <w:sz w:val="20"/>
          <w:szCs w:val="20"/>
          <w:color w:val="auto"/>
        </w:rPr>
      </w:pPr>
    </w:p>
    <w:p>
      <w:pPr>
        <w:ind w:left="880" w:right="299"/>
        <w:spacing w:after="0" w:line="248" w:lineRule="auto"/>
        <w:rPr>
          <w:rFonts w:ascii="Arial" w:cs="Arial" w:eastAsia="Arial" w:hAnsi="Arial"/>
          <w:sz w:val="17"/>
          <w:szCs w:val="17"/>
          <w:u w:val="single" w:color="auto"/>
          <w:color w:val="0000EE"/>
        </w:rPr>
      </w:pPr>
      <w:hyperlink r:id="rId110">
        <w:r>
          <w:rPr>
            <w:rFonts w:ascii="Arial" w:cs="Arial" w:eastAsia="Arial" w:hAnsi="Arial"/>
            <w:sz w:val="17"/>
            <w:szCs w:val="17"/>
            <w:u w:val="single" w:color="auto"/>
            <w:color w:val="0000EE"/>
          </w:rPr>
          <w:t>Loan and Security Agreement by and between Solar Capital Ltd., the lenders identified therein and</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the Registrant, dated March 2, 2020 (incorporated by reference to Exhibit 10.1 to the Registrant’s</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r:id="rId110">
        <w:r>
          <w:rPr>
            <w:rFonts w:ascii="Arial" w:cs="Arial" w:eastAsia="Arial" w:hAnsi="Arial"/>
            <w:sz w:val="17"/>
            <w:szCs w:val="17"/>
            <w:u w:val="single" w:color="auto"/>
            <w:color w:val="0000EE"/>
          </w:rPr>
          <w:t>Current Report on Form 8-K filed on March 3, 2020)</w:t>
        </w:r>
      </w:hyperlink>
    </w:p>
    <w:p>
      <w:pPr>
        <w:spacing w:after="0" w:line="1" w:lineRule="exact"/>
        <w:rPr>
          <w:sz w:val="20"/>
          <w:szCs w:val="20"/>
          <w:color w:val="auto"/>
        </w:rPr>
      </w:pPr>
    </w:p>
    <w:p>
      <w:pPr>
        <w:ind w:left="880" w:right="299"/>
        <w:spacing w:after="0" w:line="234" w:lineRule="auto"/>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Amended and Restated 2003 Stock Incentive Plan of the Registrant, as amended (incorporated by</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reference to Exhibit 10.9 to the Registrant’s Registration Statement on Form S-1 (File No. 333-</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11">
        <w:r>
          <w:rPr>
            <w:rFonts w:ascii="Arial" w:cs="Arial" w:eastAsia="Arial" w:hAnsi="Arial"/>
            <w:sz w:val="17"/>
            <w:szCs w:val="17"/>
            <w:u w:val="single" w:color="auto"/>
            <w:color w:val="0000EE"/>
          </w:rPr>
          <w:t>225307))</w:t>
        </w:r>
      </w:hyperlink>
    </w:p>
    <w:p>
      <w:pPr>
        <w:ind w:left="880"/>
        <w:spacing w:after="0" w:line="235" w:lineRule="auto"/>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2018 Equity Incentive Plan (incorporated by reference to Exhibit 10.10 to the Registrant’s Quarterly</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112">
        <w:r>
          <w:rPr>
            <w:rFonts w:ascii="Arial" w:cs="Arial" w:eastAsia="Arial" w:hAnsi="Arial"/>
            <w:sz w:val="17"/>
            <w:szCs w:val="17"/>
            <w:u w:val="single" w:color="auto"/>
            <w:color w:val="0000EE"/>
          </w:rPr>
          <w:t>Report on Form 10-Q (File No. 001-38546) filed on November 6, 2018)</w:t>
        </w:r>
      </w:hyperlink>
    </w:p>
    <w:p>
      <w:pPr>
        <w:ind w:left="880"/>
        <w:spacing w:after="0" w:line="234" w:lineRule="auto"/>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2018 Employee Stock Purchase Plan (incorporated by reference to Exhibit 10.11 to the Registrant’s</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113">
        <w:r>
          <w:rPr>
            <w:rFonts w:ascii="Arial" w:cs="Arial" w:eastAsia="Arial" w:hAnsi="Arial"/>
            <w:sz w:val="17"/>
            <w:szCs w:val="17"/>
            <w:u w:val="single" w:color="auto"/>
            <w:color w:val="0000EE"/>
          </w:rPr>
          <w:t>Quarterly Report on Form 10-Q (File No. 001-38546) filed on November 6, 2018)</w:t>
        </w:r>
      </w:hyperlink>
    </w:p>
    <w:p>
      <w:pPr>
        <w:spacing w:after="0" w:line="1" w:lineRule="exact"/>
        <w:rPr>
          <w:sz w:val="20"/>
          <w:szCs w:val="20"/>
          <w:color w:val="auto"/>
        </w:rPr>
      </w:pPr>
    </w:p>
    <w:p>
      <w:pPr>
        <w:ind w:left="880" w:right="159"/>
        <w:spacing w:after="0" w:line="248" w:lineRule="auto"/>
        <w:rPr>
          <w:rFonts w:ascii="Arial" w:cs="Arial" w:eastAsia="Arial" w:hAnsi="Arial"/>
          <w:sz w:val="17"/>
          <w:szCs w:val="17"/>
          <w:u w:val="single" w:color="auto"/>
          <w:color w:val="0000EE"/>
        </w:rPr>
      </w:pPr>
      <w:hyperlink r:id="rId114">
        <w:r>
          <w:rPr>
            <w:rFonts w:ascii="Arial" w:cs="Arial" w:eastAsia="Arial" w:hAnsi="Arial"/>
            <w:sz w:val="17"/>
            <w:szCs w:val="17"/>
            <w:u w:val="single" w:color="auto"/>
            <w:color w:val="0000EE"/>
          </w:rPr>
          <w:t>Lease Agreement by and between Exeter 3222 Phoenixville, L.P., and the Registrant, dated January</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3, 2013 (incorporated by reference to Exhibit 10.12 to the Registration Statement on Form S-1 (File</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114">
        <w:r>
          <w:rPr>
            <w:rFonts w:ascii="Arial" w:cs="Arial" w:eastAsia="Arial" w:hAnsi="Arial"/>
            <w:sz w:val="17"/>
            <w:szCs w:val="17"/>
            <w:u w:val="single" w:color="auto"/>
            <w:color w:val="0000EE"/>
          </w:rPr>
          <w:t>No. 333-225307))</w:t>
        </w:r>
      </w:hyperlink>
    </w:p>
    <w:p>
      <w:pPr>
        <w:spacing w:after="0" w:line="1" w:lineRule="exact"/>
        <w:rPr>
          <w:sz w:val="20"/>
          <w:szCs w:val="20"/>
          <w:color w:val="auto"/>
        </w:rPr>
      </w:pPr>
    </w:p>
    <w:p>
      <w:pPr>
        <w:ind w:left="880" w:right="139"/>
        <w:spacing w:after="0" w:line="248" w:lineRule="auto"/>
        <w:rPr>
          <w:rFonts w:ascii="Arial" w:cs="Arial" w:eastAsia="Arial" w:hAnsi="Arial"/>
          <w:sz w:val="17"/>
          <w:szCs w:val="17"/>
          <w:u w:val="single" w:color="auto"/>
          <w:color w:val="0000EE"/>
        </w:rPr>
      </w:pPr>
      <w:hyperlink r:id="rId115">
        <w:r>
          <w:rPr>
            <w:rFonts w:ascii="Arial" w:cs="Arial" w:eastAsia="Arial" w:hAnsi="Arial"/>
            <w:sz w:val="17"/>
            <w:szCs w:val="17"/>
            <w:u w:val="single" w:color="auto"/>
            <w:color w:val="0000EE"/>
          </w:rPr>
          <w:t>Form of Non-Qualified Stock Option Agreement for the Amended and Restated 2003 Stock Incentive</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Plan, as amended, of the Registrant (incorporated by reference to Exhibit 10.13 to the Registrant’s</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10.11+</w:t>
      </w:r>
      <w:r>
        <w:rPr>
          <w:sz w:val="20"/>
          <w:szCs w:val="20"/>
          <w:color w:val="auto"/>
        </w:rPr>
        <w:tab/>
      </w:r>
      <w:hyperlink r:id="rId115">
        <w:r>
          <w:rPr>
            <w:rFonts w:ascii="Arial" w:cs="Arial" w:eastAsia="Arial" w:hAnsi="Arial"/>
            <w:sz w:val="17"/>
            <w:szCs w:val="17"/>
            <w:u w:val="single" w:color="auto"/>
            <w:color w:val="0000EE"/>
          </w:rPr>
          <w:t>Registration Statement on Form S-1 (File No. 333-225307))</w:t>
        </w:r>
      </w:hyperlink>
    </w:p>
    <w:p>
      <w:pPr>
        <w:spacing w:after="0" w:line="1" w:lineRule="exact"/>
        <w:rPr>
          <w:sz w:val="20"/>
          <w:szCs w:val="20"/>
          <w:color w:val="auto"/>
        </w:rPr>
      </w:pPr>
    </w:p>
    <w:p>
      <w:pPr>
        <w:ind w:left="880" w:right="319"/>
        <w:spacing w:after="0" w:line="248" w:lineRule="auto"/>
        <w:rPr>
          <w:rFonts w:ascii="Arial" w:cs="Arial" w:eastAsia="Arial" w:hAnsi="Arial"/>
          <w:sz w:val="17"/>
          <w:szCs w:val="17"/>
          <w:u w:val="single" w:color="auto"/>
          <w:color w:val="0000EE"/>
        </w:rPr>
      </w:pPr>
      <w:hyperlink r:id="rId116">
        <w:r>
          <w:rPr>
            <w:rFonts w:ascii="Arial" w:cs="Arial" w:eastAsia="Arial" w:hAnsi="Arial"/>
            <w:sz w:val="17"/>
            <w:szCs w:val="17"/>
            <w:u w:val="single" w:color="auto"/>
            <w:color w:val="0000EE"/>
          </w:rPr>
          <w:t>Form of Incentive Stock Option Agreement for the Amended and Restated 2003 Stock Incentive</w:t>
        </w:r>
      </w:hyperlink>
      <w:r>
        <w:rPr>
          <w:rFonts w:ascii="Arial" w:cs="Arial" w:eastAsia="Arial" w:hAnsi="Arial"/>
          <w:sz w:val="17"/>
          <w:szCs w:val="17"/>
          <w:u w:val="single" w:color="auto"/>
          <w:color w:val="0000EE"/>
        </w:rPr>
        <w:t xml:space="preserve"> </w:t>
      </w:r>
      <w:hyperlink r:id="rId116">
        <w:r>
          <w:rPr>
            <w:rFonts w:ascii="Arial" w:cs="Arial" w:eastAsia="Arial" w:hAnsi="Arial"/>
            <w:sz w:val="17"/>
            <w:szCs w:val="17"/>
            <w:u w:val="single" w:color="auto"/>
            <w:color w:val="0000EE"/>
          </w:rPr>
          <w:t>Plan, as amended, of the Registrant (incorporated by reference to Exhibit 10.14 to the Registrant’s</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116">
        <w:r>
          <w:rPr>
            <w:rFonts w:ascii="Arial" w:cs="Arial" w:eastAsia="Arial" w:hAnsi="Arial"/>
            <w:sz w:val="17"/>
            <w:szCs w:val="17"/>
            <w:u w:val="single" w:color="auto"/>
            <w:color w:val="0000EE"/>
          </w:rPr>
          <w:t>Registration Statement on Form S-1 (File No. 333-225307))</w:t>
        </w:r>
      </w:hyperlink>
    </w:p>
    <w:p>
      <w:pPr>
        <w:spacing w:after="0" w:line="1" w:lineRule="exact"/>
        <w:rPr>
          <w:sz w:val="20"/>
          <w:szCs w:val="20"/>
          <w:color w:val="auto"/>
        </w:rPr>
      </w:pPr>
    </w:p>
    <w:p>
      <w:pPr>
        <w:ind w:left="880" w:right="179"/>
        <w:spacing w:after="0" w:line="248" w:lineRule="auto"/>
        <w:rPr>
          <w:rFonts w:ascii="Arial" w:cs="Arial" w:eastAsia="Arial" w:hAnsi="Arial"/>
          <w:sz w:val="17"/>
          <w:szCs w:val="17"/>
          <w:u w:val="single" w:color="auto"/>
          <w:color w:val="0000EE"/>
        </w:rPr>
      </w:pPr>
      <w:hyperlink r:id="rId117">
        <w:r>
          <w:rPr>
            <w:rFonts w:ascii="Arial" w:cs="Arial" w:eastAsia="Arial" w:hAnsi="Arial"/>
            <w:sz w:val="17"/>
            <w:szCs w:val="17"/>
            <w:u w:val="single" w:color="auto"/>
            <w:color w:val="0000EE"/>
          </w:rPr>
          <w:t>Forms of Grant Notice, Stock Option Agreement and Notice of Exercise under the 2018 Equity</w:t>
        </w:r>
      </w:hyperlink>
      <w:r>
        <w:rPr>
          <w:rFonts w:ascii="Arial" w:cs="Arial" w:eastAsia="Arial" w:hAnsi="Arial"/>
          <w:sz w:val="17"/>
          <w:szCs w:val="17"/>
          <w:u w:val="single" w:color="auto"/>
          <w:color w:val="0000EE"/>
        </w:rPr>
        <w:t xml:space="preserve"> </w:t>
      </w:r>
      <w:hyperlink r:id="rId117">
        <w:r>
          <w:rPr>
            <w:rFonts w:ascii="Arial" w:cs="Arial" w:eastAsia="Arial" w:hAnsi="Arial"/>
            <w:sz w:val="17"/>
            <w:szCs w:val="17"/>
            <w:u w:val="single" w:color="auto"/>
            <w:color w:val="0000EE"/>
          </w:rPr>
          <w:t>Incentive Plan (incorporated by reference to Exhibit 10.15 to the Registrant’s Registration Statement</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117">
        <w:r>
          <w:rPr>
            <w:rFonts w:ascii="Arial" w:cs="Arial" w:eastAsia="Arial" w:hAnsi="Arial"/>
            <w:sz w:val="17"/>
            <w:szCs w:val="17"/>
            <w:u w:val="single" w:color="auto"/>
            <w:color w:val="0000EE"/>
          </w:rPr>
          <w:t>on Form S-1 (File No. 333-225307))</w:t>
        </w:r>
      </w:hyperlink>
    </w:p>
    <w:p>
      <w:pPr>
        <w:spacing w:after="0" w:line="1" w:lineRule="exact"/>
        <w:rPr>
          <w:sz w:val="20"/>
          <w:szCs w:val="20"/>
          <w:color w:val="auto"/>
        </w:rPr>
      </w:pPr>
    </w:p>
    <w:p>
      <w:pPr>
        <w:ind w:left="880" w:right="219"/>
        <w:spacing w:after="0" w:line="248" w:lineRule="auto"/>
        <w:rPr>
          <w:rFonts w:ascii="Arial" w:cs="Arial" w:eastAsia="Arial" w:hAnsi="Arial"/>
          <w:sz w:val="17"/>
          <w:szCs w:val="17"/>
          <w:u w:val="single" w:color="auto"/>
          <w:color w:val="0000EE"/>
        </w:rPr>
      </w:pPr>
      <w:hyperlink r:id="rId118">
        <w:r>
          <w:rPr>
            <w:rFonts w:ascii="Arial" w:cs="Arial" w:eastAsia="Arial" w:hAnsi="Arial"/>
            <w:sz w:val="17"/>
            <w:szCs w:val="17"/>
            <w:u w:val="single" w:color="auto"/>
            <w:color w:val="0000EE"/>
          </w:rPr>
          <w:t>Forms of Restricted Stock Unit Grant Notice and Award Agreement under the 2018 Equity Incentive</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Plan (incorporated by reference to Exhibit 10.16 to the Registrant’s Registration Statement on Form</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118">
        <w:r>
          <w:rPr>
            <w:rFonts w:ascii="Arial" w:cs="Arial" w:eastAsia="Arial" w:hAnsi="Arial"/>
            <w:sz w:val="17"/>
            <w:szCs w:val="17"/>
            <w:u w:val="single" w:color="auto"/>
            <w:color w:val="0000EE"/>
          </w:rPr>
          <w:t>S-1 (File No. 333-225307))</w:t>
        </w:r>
      </w:hyperlink>
    </w:p>
    <w:p>
      <w:pPr>
        <w:spacing w:after="0" w:line="1" w:lineRule="exact"/>
        <w:rPr>
          <w:sz w:val="20"/>
          <w:szCs w:val="20"/>
          <w:color w:val="auto"/>
        </w:rPr>
      </w:pPr>
    </w:p>
    <w:p>
      <w:pPr>
        <w:ind w:left="60" w:right="739" w:firstLine="823"/>
        <w:spacing w:after="0" w:line="234" w:lineRule="auto"/>
        <w:rPr>
          <w:rFonts w:ascii="Arial" w:cs="Arial" w:eastAsia="Arial" w:hAnsi="Arial"/>
          <w:sz w:val="18"/>
          <w:szCs w:val="18"/>
          <w:color w:val="000000"/>
        </w:rPr>
      </w:pPr>
      <w:hyperlink r:id="rId119">
        <w:r>
          <w:rPr>
            <w:rFonts w:ascii="Arial" w:cs="Arial" w:eastAsia="Arial" w:hAnsi="Arial"/>
            <w:sz w:val="18"/>
            <w:szCs w:val="18"/>
            <w:u w:val="single" w:color="auto"/>
            <w:color w:val="0000EE"/>
          </w:rPr>
          <w:t>Form of Severance Agreement (incorporated by reference to Exhibit 10.17 to the Registrant’s</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xml:space="preserve">10.15+ </w:t>
      </w:r>
      <w:hyperlink r:id="rId119">
        <w:r>
          <w:rPr>
            <w:rFonts w:ascii="Arial" w:cs="Arial" w:eastAsia="Arial" w:hAnsi="Arial"/>
            <w:sz w:val="18"/>
            <w:szCs w:val="18"/>
            <w:u w:val="single" w:color="auto"/>
            <w:color w:val="0000EE"/>
          </w:rPr>
          <w:t>Registration Statement on Form S-1 (File No. 333-225307))</w:t>
        </w:r>
      </w:hyperlink>
    </w:p>
    <w:p>
      <w:pPr>
        <w:spacing w:after="0" w:line="1" w:lineRule="exact"/>
        <w:rPr>
          <w:sz w:val="20"/>
          <w:szCs w:val="20"/>
          <w:color w:val="auto"/>
        </w:rPr>
      </w:pPr>
    </w:p>
    <w:p>
      <w:pPr>
        <w:ind w:left="60" w:right="399" w:firstLine="823"/>
        <w:spacing w:after="0" w:line="246" w:lineRule="auto"/>
        <w:rPr>
          <w:rFonts w:ascii="Arial" w:cs="Arial" w:eastAsia="Arial" w:hAnsi="Arial"/>
          <w:sz w:val="18"/>
          <w:szCs w:val="18"/>
          <w:color w:val="000000"/>
        </w:rPr>
      </w:pPr>
      <w:hyperlink r:id="rId120">
        <w:r>
          <w:rPr>
            <w:rFonts w:ascii="Arial" w:cs="Arial" w:eastAsia="Arial" w:hAnsi="Arial"/>
            <w:sz w:val="18"/>
            <w:szCs w:val="18"/>
            <w:u w:val="single" w:color="auto"/>
            <w:color w:val="0000EE"/>
          </w:rPr>
          <w:t>Form of Restrictive Covenant and Invention Assignment Agreement (incorporated by reference to</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xml:space="preserve">10.16+ </w:t>
      </w:r>
      <w:hyperlink r:id="rId120">
        <w:r>
          <w:rPr>
            <w:rFonts w:ascii="Arial" w:cs="Arial" w:eastAsia="Arial" w:hAnsi="Arial"/>
            <w:sz w:val="18"/>
            <w:szCs w:val="18"/>
            <w:u w:val="single" w:color="auto"/>
            <w:color w:val="0000EE"/>
          </w:rPr>
          <w:t>Exhibit 10.18 to the Registrant’s Registration Statement on Form S-1 (File No. 333-225307))</w:t>
        </w:r>
      </w:hyperlink>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79" w:firstLine="823"/>
        <w:spacing w:after="0" w:line="234" w:lineRule="auto"/>
        <w:rPr>
          <w:rFonts w:ascii="Arial" w:cs="Arial" w:eastAsia="Arial" w:hAnsi="Arial"/>
          <w:sz w:val="18"/>
          <w:szCs w:val="18"/>
          <w:color w:val="000000"/>
        </w:rPr>
      </w:pPr>
      <w:hyperlink r:id="rId122">
        <w:r>
          <w:rPr>
            <w:rFonts w:ascii="Arial" w:cs="Arial" w:eastAsia="Arial" w:hAnsi="Arial"/>
            <w:sz w:val="18"/>
            <w:szCs w:val="18"/>
            <w:u w:val="single" w:color="auto"/>
            <w:color w:val="0000EE"/>
          </w:rPr>
          <w:t>Non-Employee Director Compensation Policy (incorporated by reference to Exhibit 10.21 to the</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xml:space="preserve">10.17 </w:t>
      </w:r>
      <w:hyperlink r:id="rId122">
        <w:r>
          <w:rPr>
            <w:rFonts w:ascii="Arial" w:cs="Arial" w:eastAsia="Arial" w:hAnsi="Arial"/>
            <w:sz w:val="18"/>
            <w:szCs w:val="18"/>
            <w:u w:val="single" w:color="auto"/>
            <w:color w:val="0000EE"/>
          </w:rPr>
          <w:t>Registrant’s Registration Statement on Form S-1 (File No. 333-225307))</w:t>
        </w:r>
      </w:hyperlink>
    </w:p>
    <w:p>
      <w:pPr>
        <w:spacing w:after="0" w:line="1" w:lineRule="exact"/>
        <w:rPr>
          <w:sz w:val="20"/>
          <w:szCs w:val="20"/>
          <w:color w:val="auto"/>
        </w:rPr>
      </w:pPr>
    </w:p>
    <w:p>
      <w:pPr>
        <w:ind w:left="880" w:right="99"/>
        <w:spacing w:after="0" w:line="248" w:lineRule="auto"/>
        <w:rPr>
          <w:rFonts w:ascii="Arial" w:cs="Arial" w:eastAsia="Arial" w:hAnsi="Arial"/>
          <w:sz w:val="17"/>
          <w:szCs w:val="17"/>
          <w:u w:val="single" w:color="auto"/>
          <w:color w:val="0000EE"/>
        </w:rPr>
      </w:pPr>
      <w:hyperlink r:id="rId123">
        <w:r>
          <w:rPr>
            <w:rFonts w:ascii="Arial" w:cs="Arial" w:eastAsia="Arial" w:hAnsi="Arial"/>
            <w:sz w:val="17"/>
            <w:szCs w:val="17"/>
            <w:u w:val="single" w:color="auto"/>
            <w:color w:val="0000EE"/>
          </w:rPr>
          <w:t>Amendment No. 1 to Distribution Agreement, dated May 31, 2019, by and between the Registrant</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and Teijin Pharma Limited (incorporated by reference to Exhibit 10.2 to the Form 10-Q filed August 6,</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10.18◊</w:t>
      </w:r>
      <w:r>
        <w:rPr>
          <w:sz w:val="20"/>
          <w:szCs w:val="20"/>
          <w:color w:val="auto"/>
        </w:rPr>
        <w:tab/>
      </w:r>
      <w:hyperlink r:id="rId123">
        <w:r>
          <w:rPr>
            <w:rFonts w:ascii="Arial" w:cs="Arial" w:eastAsia="Arial" w:hAnsi="Arial"/>
            <w:sz w:val="17"/>
            <w:szCs w:val="17"/>
            <w:u w:val="single" w:color="auto"/>
            <w:color w:val="0000EE"/>
          </w:rPr>
          <w:t>2020)</w:t>
        </w:r>
      </w:hyperlink>
    </w:p>
    <w:p>
      <w:pPr>
        <w:spacing w:after="0" w:line="1" w:lineRule="exact"/>
        <w:rPr>
          <w:sz w:val="20"/>
          <w:szCs w:val="20"/>
          <w:color w:val="auto"/>
        </w:rPr>
      </w:pPr>
    </w:p>
    <w:p>
      <w:pPr>
        <w:ind w:left="60" w:right="319" w:firstLine="823"/>
        <w:spacing w:after="0" w:line="234" w:lineRule="auto"/>
        <w:rPr>
          <w:rFonts w:ascii="Arial" w:cs="Arial" w:eastAsia="Arial" w:hAnsi="Arial"/>
          <w:sz w:val="18"/>
          <w:szCs w:val="18"/>
          <w:color w:val="000000"/>
        </w:rPr>
      </w:pPr>
      <w:hyperlink r:id="rId124">
        <w:r>
          <w:rPr>
            <w:rFonts w:ascii="Arial" w:cs="Arial" w:eastAsia="Arial" w:hAnsi="Arial"/>
            <w:sz w:val="18"/>
            <w:szCs w:val="18"/>
            <w:u w:val="single" w:color="auto"/>
            <w:color w:val="0000EE"/>
          </w:rPr>
          <w:t>Employment Offer Letter Agreement between Neuronetics, Inc. and Stephen Furlong dated July 1,</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xml:space="preserve">10.19+ </w:t>
      </w:r>
      <w:hyperlink r:id="rId124">
        <w:r>
          <w:rPr>
            <w:rFonts w:ascii="Arial" w:cs="Arial" w:eastAsia="Arial" w:hAnsi="Arial"/>
            <w:sz w:val="18"/>
            <w:szCs w:val="18"/>
            <w:u w:val="single" w:color="auto"/>
            <w:color w:val="0000EE"/>
          </w:rPr>
          <w:t>2019 (incorporated by reference to Exhibit 10.1 to the Form 8-K filed July 2, 2019)</w:t>
        </w:r>
      </w:hyperlink>
    </w:p>
    <w:p>
      <w:pPr>
        <w:spacing w:after="0" w:line="1" w:lineRule="exact"/>
        <w:rPr>
          <w:sz w:val="20"/>
          <w:szCs w:val="20"/>
          <w:color w:val="auto"/>
        </w:rPr>
      </w:pPr>
    </w:p>
    <w:p>
      <w:pPr>
        <w:ind w:left="880" w:right="79"/>
        <w:spacing w:after="0" w:line="234" w:lineRule="auto"/>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Employment Agreement, dated July 14, 2020, by and between Neuronetics, Inc. and Keith J. Sullivan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(incorporated by reference to Exhibit 10.1 to the Current Report on Form 8-K filed with the SEC on</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10.20+</w:t>
      </w:r>
      <w:r>
        <w:rPr>
          <w:sz w:val="20"/>
          <w:szCs w:val="20"/>
          <w:color w:val="auto"/>
        </w:rPr>
        <w:tab/>
      </w:r>
      <w:hyperlink r:id="rId125">
        <w:r>
          <w:rPr>
            <w:rFonts w:ascii="Arial" w:cs="Arial" w:eastAsia="Arial" w:hAnsi="Arial"/>
            <w:sz w:val="17"/>
            <w:szCs w:val="17"/>
            <w:u w:val="single" w:color="auto"/>
            <w:color w:val="0000EE"/>
          </w:rPr>
          <w:t>July 17, 2020)</w:t>
        </w:r>
      </w:hyperlink>
    </w:p>
    <w:p>
      <w:pPr>
        <w:ind w:left="880" w:right="419"/>
        <w:spacing w:after="0" w:line="248" w:lineRule="auto"/>
        <w:rPr>
          <w:rFonts w:ascii="Arial" w:cs="Arial" w:eastAsia="Arial" w:hAnsi="Arial"/>
          <w:sz w:val="17"/>
          <w:szCs w:val="17"/>
          <w:u w:val="single" w:color="auto"/>
          <w:color w:val="0000EE"/>
        </w:rPr>
      </w:pPr>
      <w:hyperlink r:id="rId126">
        <w:r>
          <w:rPr>
            <w:rFonts w:ascii="Arial" w:cs="Arial" w:eastAsia="Arial" w:hAnsi="Arial"/>
            <w:sz w:val="17"/>
            <w:szCs w:val="17"/>
            <w:u w:val="single" w:color="auto"/>
            <w:color w:val="0000EE"/>
          </w:rPr>
          <w:t>Form of Neuronetics, Inc. Performance Restricted Stock Unit Grant Notice and Award Agreement</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under Nasdaq Listing RuI5635(c)(4) (incorporated by reference to Exhibit 10.2 to the Registrant’s</w:t>
        </w:r>
      </w:hyperlink>
    </w:p>
    <w:p>
      <w:pPr>
        <w:ind w:left="60"/>
        <w:spacing w:after="0" w:line="23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26">
        <w:r>
          <w:rPr>
            <w:rFonts w:ascii="Arial" w:cs="Arial" w:eastAsia="Arial" w:hAnsi="Arial"/>
            <w:sz w:val="18"/>
            <w:szCs w:val="18"/>
            <w:u w:val="single" w:color="auto"/>
            <w:color w:val="0000EE"/>
          </w:rPr>
          <w:t>Quarterly Report on Form 10-Q (File No. 001-38546) filed on August 4, 2020)</w:t>
        </w:r>
      </w:hyperlink>
    </w:p>
    <w:p>
      <w:pPr>
        <w:spacing w:after="0" w:line="1" w:lineRule="exact"/>
        <w:rPr>
          <w:sz w:val="20"/>
          <w:szCs w:val="20"/>
          <w:color w:val="auto"/>
        </w:rPr>
      </w:pPr>
    </w:p>
    <w:p>
      <w:pPr>
        <w:ind w:left="880" w:right="359"/>
        <w:spacing w:after="0" w:line="248" w:lineRule="auto"/>
        <w:rPr>
          <w:rFonts w:ascii="Arial" w:cs="Arial" w:eastAsia="Arial" w:hAnsi="Arial"/>
          <w:sz w:val="17"/>
          <w:szCs w:val="17"/>
          <w:u w:val="single" w:color="auto"/>
          <w:color w:val="0000EE"/>
        </w:rPr>
      </w:pPr>
      <w:hyperlink r:id="rId127">
        <w:r>
          <w:rPr>
            <w:rFonts w:ascii="Arial" w:cs="Arial" w:eastAsia="Arial" w:hAnsi="Arial"/>
            <w:sz w:val="17"/>
            <w:szCs w:val="17"/>
            <w:u w:val="single" w:color="auto"/>
            <w:color w:val="0000EE"/>
          </w:rPr>
          <w:t>Form of Neuronetics, Inc. Performance Restricted Stock Unit Grant Notice and Award Agreement</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under the 2018 Equity Incentive Plan (incorporated by reference to Exhibit 10.3 to the Registrant’s</w:t>
        </w:r>
      </w:hyperlink>
    </w:p>
    <w:p>
      <w:pPr>
        <w:ind w:left="60"/>
        <w:spacing w:after="0" w:line="23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27">
        <w:r>
          <w:rPr>
            <w:rFonts w:ascii="Arial" w:cs="Arial" w:eastAsia="Arial" w:hAnsi="Arial"/>
            <w:sz w:val="18"/>
            <w:szCs w:val="18"/>
            <w:u w:val="single" w:color="auto"/>
            <w:color w:val="0000EE"/>
          </w:rPr>
          <w:t>Quarterly Report on Form 10-Q (File No. 001-38546) filed on August 4, 2020)</w:t>
        </w:r>
      </w:hyperlink>
    </w:p>
    <w:p>
      <w:pPr>
        <w:spacing w:after="0" w:line="1" w:lineRule="exact"/>
        <w:rPr>
          <w:sz w:val="20"/>
          <w:szCs w:val="20"/>
          <w:color w:val="auto"/>
        </w:rPr>
      </w:pPr>
    </w:p>
    <w:p>
      <w:pPr>
        <w:ind w:left="880" w:right="259"/>
        <w:spacing w:after="0" w:line="248" w:lineRule="auto"/>
        <w:rPr>
          <w:rFonts w:ascii="Arial" w:cs="Arial" w:eastAsia="Arial" w:hAnsi="Arial"/>
          <w:sz w:val="17"/>
          <w:szCs w:val="17"/>
          <w:u w:val="single" w:color="auto"/>
          <w:color w:val="0000EE"/>
        </w:rPr>
      </w:pPr>
      <w:hyperlink r:id="rId128">
        <w:r>
          <w:rPr>
            <w:rFonts w:ascii="Arial" w:cs="Arial" w:eastAsia="Arial" w:hAnsi="Arial"/>
            <w:sz w:val="17"/>
            <w:szCs w:val="17"/>
            <w:u w:val="single" w:color="auto"/>
            <w:color w:val="0000EE"/>
          </w:rPr>
          <w:t>Form of Neuronetics, Inc. Restricted Stock Unit Grant Notice and Award Agreement under Nasdaq</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Listing 5635(c)(4) (incorporated by reference to Exhibit 10.4 to the Registrant’s Quarterly Report on</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10.23+</w:t>
      </w:r>
      <w:r>
        <w:rPr>
          <w:sz w:val="20"/>
          <w:szCs w:val="20"/>
          <w:color w:val="auto"/>
        </w:rPr>
        <w:tab/>
      </w:r>
      <w:hyperlink r:id="rId128">
        <w:r>
          <w:rPr>
            <w:rFonts w:ascii="Arial" w:cs="Arial" w:eastAsia="Arial" w:hAnsi="Arial"/>
            <w:sz w:val="17"/>
            <w:szCs w:val="17"/>
            <w:u w:val="single" w:color="auto"/>
            <w:color w:val="0000EE"/>
          </w:rPr>
          <w:t>Form 10-Q (File No. 001-38546) filed on August 4, 2020)</w:t>
        </w:r>
      </w:hyperlink>
    </w:p>
    <w:p>
      <w:pPr>
        <w:spacing w:after="0" w:line="1" w:lineRule="exact"/>
        <w:rPr>
          <w:sz w:val="20"/>
          <w:szCs w:val="20"/>
          <w:color w:val="auto"/>
        </w:rPr>
      </w:pPr>
    </w:p>
    <w:p>
      <w:pPr>
        <w:ind w:left="880" w:right="439"/>
        <w:spacing w:after="0" w:line="248" w:lineRule="auto"/>
        <w:rPr>
          <w:rFonts w:ascii="Arial" w:cs="Arial" w:eastAsia="Arial" w:hAnsi="Arial"/>
          <w:sz w:val="17"/>
          <w:szCs w:val="17"/>
          <w:u w:val="single" w:color="auto"/>
          <w:color w:val="0000EE"/>
        </w:rPr>
      </w:pPr>
      <w:hyperlink r:id="rId129">
        <w:r>
          <w:rPr>
            <w:rFonts w:ascii="Arial" w:cs="Arial" w:eastAsia="Arial" w:hAnsi="Arial"/>
            <w:sz w:val="17"/>
            <w:szCs w:val="17"/>
            <w:u w:val="single" w:color="auto"/>
            <w:color w:val="0000EE"/>
          </w:rPr>
          <w:t>Form of Neuronetics, Inc. Stock Option Grant Notice and Agreement (Nonstatutory Stock Option)</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under Nasdaq ListI Rule 5635(c)(4) (incorporated by reference to Exhibit 10.5 to the Registrant’s</w:t>
        </w:r>
      </w:hyperlink>
    </w:p>
    <w:p>
      <w:pPr>
        <w:ind w:left="60"/>
        <w:spacing w:after="0" w:line="23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29">
        <w:r>
          <w:rPr>
            <w:rFonts w:ascii="Arial" w:cs="Arial" w:eastAsia="Arial" w:hAnsi="Arial"/>
            <w:sz w:val="18"/>
            <w:szCs w:val="18"/>
            <w:u w:val="single" w:color="auto"/>
            <w:color w:val="0000EE"/>
          </w:rPr>
          <w:t>Quarterly Report on Form 10-Q (File No. 001-38546) filed on August 4, 2020)</w:t>
        </w:r>
      </w:hyperlink>
    </w:p>
    <w:p>
      <w:pPr>
        <w:spacing w:after="0" w:line="1" w:lineRule="exact"/>
        <w:rPr>
          <w:sz w:val="20"/>
          <w:szCs w:val="20"/>
          <w:color w:val="auto"/>
        </w:rPr>
      </w:pPr>
    </w:p>
    <w:p>
      <w:pPr>
        <w:ind w:left="880" w:right="179"/>
        <w:spacing w:after="0" w:line="248" w:lineRule="auto"/>
        <w:rPr>
          <w:rFonts w:ascii="Arial" w:cs="Arial" w:eastAsia="Arial" w:hAnsi="Arial"/>
          <w:sz w:val="17"/>
          <w:szCs w:val="17"/>
          <w:u w:val="single" w:color="auto"/>
          <w:color w:val="0000EE"/>
        </w:rPr>
      </w:pPr>
      <w:hyperlink r:id="rId130">
        <w:r>
          <w:rPr>
            <w:rFonts w:ascii="Arial" w:cs="Arial" w:eastAsia="Arial" w:hAnsi="Arial"/>
            <w:sz w:val="17"/>
            <w:szCs w:val="17"/>
            <w:u w:val="single" w:color="auto"/>
            <w:color w:val="0000EE"/>
          </w:rPr>
          <w:t>Performance Restricted Stock Unit Grant Notice and Award Agreement, dated July 14, 2020, by and</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between Neuronetics, Inc. and Keith J. Sullivan (incorporated by reference to Exhibit 10.6 to the</w:t>
        </w:r>
      </w:hyperlink>
    </w:p>
    <w:p>
      <w:pPr>
        <w:spacing w:after="0" w:line="1" w:lineRule="exact"/>
        <w:rPr>
          <w:sz w:val="20"/>
          <w:szCs w:val="20"/>
          <w:color w:val="auto"/>
        </w:rPr>
      </w:pPr>
    </w:p>
    <w:p>
      <w:pPr>
        <w:ind w:left="880" w:right="259" w:hanging="822"/>
        <w:spacing w:after="0" w:line="248" w:lineRule="auto"/>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10.25+</w:t>
      </w:r>
      <w:r>
        <w:rPr>
          <w:sz w:val="20"/>
          <w:szCs w:val="20"/>
          <w:color w:val="auto"/>
        </w:rPr>
        <w:tab/>
      </w:r>
      <w:hyperlink r:id="rId130">
        <w:r>
          <w:rPr>
            <w:rFonts w:ascii="Arial" w:cs="Arial" w:eastAsia="Arial" w:hAnsi="Arial"/>
            <w:sz w:val="17"/>
            <w:szCs w:val="17"/>
            <w:u w:val="single" w:color="auto"/>
            <w:color w:val="0000EE"/>
          </w:rPr>
          <w:t>Registrant’s Quarterly Report on Form 10-Q (File No. 001-38546) filed on August 4, 2020)</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Restricted Stock Unit Grant Notice and Award Agreement, dated July 14, 2020, by and between</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Neuronetics, Inc. and Keith J. Sullivan (incorporated by reference to Exhibit 10.7 to the Registrant’s</w:t>
        </w:r>
      </w:hyperlink>
    </w:p>
    <w:p>
      <w:pPr>
        <w:ind w:left="60"/>
        <w:spacing w:after="0" w:line="236"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31">
        <w:r>
          <w:rPr>
            <w:rFonts w:ascii="Arial" w:cs="Arial" w:eastAsia="Arial" w:hAnsi="Arial"/>
            <w:sz w:val="18"/>
            <w:szCs w:val="18"/>
            <w:u w:val="single" w:color="auto"/>
            <w:color w:val="0000EE"/>
          </w:rPr>
          <w:t>Quarterly Report on Form 10-Q (File No. 001-38546) filed on August 4, 2020)</w:t>
        </w:r>
      </w:hyperlink>
    </w:p>
    <w:p>
      <w:pPr>
        <w:ind w:left="880" w:right="179"/>
        <w:spacing w:after="0" w:line="234" w:lineRule="auto"/>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Stock Option Grant Notice and Agreement (Nonstatutory Stock Option), dated July 14, 2020, by and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between Neuronetics, Inc. and Keith J. Sullivan (incorporated by reference to Exhibit 10.8 to the</w:t>
        </w:r>
      </w:hyperlink>
    </w:p>
    <w:p>
      <w:pPr>
        <w:spacing w:after="0" w:line="1" w:lineRule="exact"/>
        <w:rPr>
          <w:sz w:val="20"/>
          <w:szCs w:val="20"/>
          <w:color w:val="auto"/>
        </w:rPr>
      </w:pPr>
    </w:p>
    <w:p>
      <w:pPr>
        <w:ind w:left="880" w:right="299" w:hanging="822"/>
        <w:spacing w:after="0" w:line="248" w:lineRule="auto"/>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10.27+</w:t>
      </w:r>
      <w:r>
        <w:rPr>
          <w:sz w:val="20"/>
          <w:szCs w:val="20"/>
          <w:color w:val="auto"/>
        </w:rPr>
        <w:tab/>
      </w:r>
      <w:hyperlink r:id="rId132">
        <w:r>
          <w:rPr>
            <w:rFonts w:ascii="Arial" w:cs="Arial" w:eastAsia="Arial" w:hAnsi="Arial"/>
            <w:sz w:val="17"/>
            <w:szCs w:val="17"/>
            <w:u w:val="single" w:color="auto"/>
            <w:color w:val="0000EE"/>
          </w:rPr>
          <w:t>Registrant’s Quarterly Report on Form 10-Q (File No. 001-38546) filed on August 4, 2020)</w:t>
        </w:r>
      </w:hyperlink>
      <w:r>
        <w:rPr>
          <w:rFonts w:ascii="Arial" w:cs="Arial" w:eastAsia="Arial" w:hAnsi="Arial"/>
          <w:sz w:val="17"/>
          <w:szCs w:val="17"/>
          <w:u w:val="single" w:color="auto"/>
          <w:color w:val="0000EE"/>
        </w:rPr>
        <w:t xml:space="preserve"> </w:t>
      </w:r>
      <w:hyperlink r:id="rId133">
        <w:r>
          <w:rPr>
            <w:rFonts w:ascii="Arial" w:cs="Arial" w:eastAsia="Arial" w:hAnsi="Arial"/>
            <w:sz w:val="17"/>
            <w:szCs w:val="17"/>
            <w:u w:val="single" w:color="auto"/>
            <w:color w:val="0000EE"/>
          </w:rPr>
          <w:t>Restricted Stock Unit Grant Notice and Award Agreement, dated October 5, 2020, by and between</w:t>
        </w:r>
      </w:hyperlink>
      <w:r>
        <w:rPr>
          <w:rFonts w:ascii="Arial" w:cs="Arial" w:eastAsia="Arial" w:hAnsi="Arial"/>
          <w:sz w:val="17"/>
          <w:szCs w:val="17"/>
          <w:u w:val="single" w:color="auto"/>
          <w:color w:val="0000EE"/>
        </w:rPr>
        <w:t xml:space="preserve"> </w:t>
      </w:r>
      <w:hyperlink r:id="rId133">
        <w:r>
          <w:rPr>
            <w:rFonts w:ascii="Arial" w:cs="Arial" w:eastAsia="Arial" w:hAnsi="Arial"/>
            <w:sz w:val="17"/>
            <w:szCs w:val="17"/>
            <w:u w:val="single" w:color="auto"/>
            <w:color w:val="0000EE"/>
          </w:rPr>
          <w:t>Neuronetics, Inc. and Sara Grubbs (incorporated by reference to Exhibit 10.4 to the Registration</w:t>
        </w:r>
      </w:hyperlink>
    </w:p>
    <w:p>
      <w:pPr>
        <w:ind w:left="60"/>
        <w:spacing w:after="0" w:line="236"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33">
        <w:r>
          <w:rPr>
            <w:rFonts w:ascii="Arial" w:cs="Arial" w:eastAsia="Arial" w:hAnsi="Arial"/>
            <w:sz w:val="18"/>
            <w:szCs w:val="18"/>
            <w:u w:val="single" w:color="auto"/>
            <w:color w:val="0000EE"/>
          </w:rPr>
          <w:t>Statement on Form S-8 (File No. 333-252233) filed January 19, 2020)</w:t>
        </w:r>
      </w:hyperlink>
    </w:p>
    <w:p>
      <w:pPr>
        <w:ind w:left="60" w:right="319" w:firstLine="823"/>
        <w:spacing w:after="0" w:line="234" w:lineRule="auto"/>
        <w:rPr>
          <w:rFonts w:ascii="Arial" w:cs="Arial" w:eastAsia="Arial" w:hAnsi="Arial"/>
          <w:sz w:val="18"/>
          <w:szCs w:val="18"/>
          <w:color w:val="000000"/>
        </w:rPr>
      </w:pPr>
      <w:hyperlink r:id="rId134">
        <w:r>
          <w:rPr>
            <w:rFonts w:ascii="Arial" w:cs="Arial" w:eastAsia="Arial" w:hAnsi="Arial"/>
            <w:sz w:val="18"/>
            <w:szCs w:val="18"/>
            <w:u w:val="single" w:color="auto"/>
            <w:color w:val="0000EE"/>
          </w:rPr>
          <w:t>Neuronetics, Inc. 2020 Inducement Incentive Plan (incorporated by reference to Exhibit 10.5 to the</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xml:space="preserve">10.29+ </w:t>
      </w:r>
      <w:hyperlink r:id="rId134">
        <w:r>
          <w:rPr>
            <w:rFonts w:ascii="Arial" w:cs="Arial" w:eastAsia="Arial" w:hAnsi="Arial"/>
            <w:sz w:val="18"/>
            <w:szCs w:val="18"/>
            <w:u w:val="single" w:color="auto"/>
            <w:color w:val="0000EE"/>
          </w:rPr>
          <w:t>Registration Statement on Form S-8 (File No. 333-252233) filed January 19, 2020)</w:t>
        </w:r>
      </w:hyperlink>
    </w:p>
    <w:p>
      <w:pPr>
        <w:spacing w:after="0" w:line="1" w:lineRule="exact"/>
        <w:rPr>
          <w:sz w:val="20"/>
          <w:szCs w:val="20"/>
          <w:color w:val="auto"/>
        </w:rPr>
      </w:pPr>
    </w:p>
    <w:p>
      <w:pPr>
        <w:ind w:left="880" w:right="419"/>
        <w:spacing w:after="0" w:line="248" w:lineRule="auto"/>
        <w:rPr>
          <w:rFonts w:ascii="Arial" w:cs="Arial" w:eastAsia="Arial" w:hAnsi="Arial"/>
          <w:sz w:val="17"/>
          <w:szCs w:val="17"/>
          <w:u w:val="single" w:color="auto"/>
          <w:color w:val="0000EE"/>
        </w:rPr>
      </w:pPr>
      <w:hyperlink r:id="rId135">
        <w:r>
          <w:rPr>
            <w:rFonts w:ascii="Arial" w:cs="Arial" w:eastAsia="Arial" w:hAnsi="Arial"/>
            <w:sz w:val="17"/>
            <w:szCs w:val="17"/>
            <w:u w:val="single" w:color="auto"/>
            <w:color w:val="0000EE"/>
          </w:rPr>
          <w:t>Form of Neuronetics, Inc. Performance Restricted Stock Unit Grant Notice and Award Agreement</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under the 2020 Inducement Incentive Plan (incorporated by reference to Exhibit 10.6 to the</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10.30+</w:t>
      </w:r>
      <w:r>
        <w:rPr>
          <w:sz w:val="20"/>
          <w:szCs w:val="20"/>
          <w:color w:val="auto"/>
        </w:rPr>
        <w:tab/>
      </w:r>
      <w:hyperlink r:id="rId135">
        <w:r>
          <w:rPr>
            <w:rFonts w:ascii="Arial" w:cs="Arial" w:eastAsia="Arial" w:hAnsi="Arial"/>
            <w:sz w:val="17"/>
            <w:szCs w:val="17"/>
            <w:u w:val="single" w:color="auto"/>
            <w:color w:val="0000EE"/>
          </w:rPr>
          <w:t>Registration Statement on Form S-8 (File No. 333-252233) filed January 19, 2020)</w:t>
        </w:r>
      </w:hyperlink>
    </w:p>
    <w:p>
      <w:pPr>
        <w:spacing w:after="0" w:line="1" w:lineRule="exact"/>
        <w:rPr>
          <w:sz w:val="20"/>
          <w:szCs w:val="20"/>
          <w:color w:val="auto"/>
        </w:rPr>
      </w:pPr>
    </w:p>
    <w:p>
      <w:pPr>
        <w:ind w:left="880" w:right="239"/>
        <w:spacing w:after="0" w:line="248" w:lineRule="auto"/>
        <w:rPr>
          <w:rFonts w:ascii="Arial" w:cs="Arial" w:eastAsia="Arial" w:hAnsi="Arial"/>
          <w:sz w:val="17"/>
          <w:szCs w:val="17"/>
          <w:u w:val="single" w:color="auto"/>
          <w:color w:val="0000EE"/>
        </w:rPr>
      </w:pPr>
      <w:hyperlink r:id="rId136">
        <w:r>
          <w:rPr>
            <w:rFonts w:ascii="Arial" w:cs="Arial" w:eastAsia="Arial" w:hAnsi="Arial"/>
            <w:sz w:val="17"/>
            <w:szCs w:val="17"/>
            <w:u w:val="single" w:color="auto"/>
            <w:color w:val="0000EE"/>
          </w:rPr>
          <w:t>Form of Neuronetics, Inc. Restricted Stock Unit Grant Notice and Award Agreement under the 2020</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Inducement Incentive Plan (incorporated by reference to Exhibit 10.7 to the Registration Statement</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136">
        <w:r>
          <w:rPr>
            <w:rFonts w:ascii="Arial" w:cs="Arial" w:eastAsia="Arial" w:hAnsi="Arial"/>
            <w:sz w:val="17"/>
            <w:szCs w:val="17"/>
            <w:u w:val="single" w:color="auto"/>
            <w:color w:val="0000EE"/>
          </w:rPr>
          <w:t>on Form S-8 (File No. 333-252233) filed January 19, 2020)</w:t>
        </w:r>
      </w:hyperlink>
    </w:p>
    <w:p>
      <w:pPr>
        <w:spacing w:after="0" w:line="1" w:lineRule="exact"/>
        <w:rPr>
          <w:sz w:val="20"/>
          <w:szCs w:val="20"/>
          <w:color w:val="auto"/>
        </w:rPr>
      </w:pPr>
    </w:p>
    <w:p>
      <w:pPr>
        <w:ind w:left="880" w:right="439"/>
        <w:spacing w:after="0" w:line="248" w:lineRule="auto"/>
        <w:rPr>
          <w:rFonts w:ascii="Arial" w:cs="Arial" w:eastAsia="Arial" w:hAnsi="Arial"/>
          <w:sz w:val="17"/>
          <w:szCs w:val="17"/>
          <w:u w:val="single" w:color="auto"/>
          <w:color w:val="0000EE"/>
        </w:rPr>
      </w:pPr>
      <w:hyperlink r:id="rId137">
        <w:r>
          <w:rPr>
            <w:rFonts w:ascii="Arial" w:cs="Arial" w:eastAsia="Arial" w:hAnsi="Arial"/>
            <w:sz w:val="17"/>
            <w:szCs w:val="17"/>
            <w:u w:val="single" w:color="auto"/>
            <w:color w:val="0000EE"/>
          </w:rPr>
          <w:t>Form of Neuronetics, Inc. Stock Option Grant Notice and Agreement (Nonstatutory Stock Option)</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under the 2020 Inducement Incentive Plan (incorporated by reference to Exhibit 10.8 to the</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10.32+</w:t>
      </w:r>
      <w:r>
        <w:rPr>
          <w:sz w:val="20"/>
          <w:szCs w:val="20"/>
          <w:color w:val="auto"/>
        </w:rPr>
        <w:tab/>
      </w:r>
      <w:hyperlink r:id="rId137">
        <w:r>
          <w:rPr>
            <w:rFonts w:ascii="Arial" w:cs="Arial" w:eastAsia="Arial" w:hAnsi="Arial"/>
            <w:sz w:val="17"/>
            <w:szCs w:val="17"/>
            <w:u w:val="single" w:color="auto"/>
            <w:color w:val="0000EE"/>
          </w:rPr>
          <w:t>Registration Statement on Form S-8 (File No. 333-252233) filed January 19, 2020)</w:t>
        </w:r>
      </w:hyperlink>
    </w:p>
    <w:p>
      <w:pPr>
        <w:spacing w:after="0" w:line="1" w:lineRule="exact"/>
        <w:rPr>
          <w:sz w:val="20"/>
          <w:szCs w:val="20"/>
          <w:color w:val="auto"/>
        </w:rPr>
      </w:pPr>
    </w:p>
    <w:p>
      <w:pPr>
        <w:ind w:left="880" w:right="79"/>
        <w:spacing w:after="0" w:line="248" w:lineRule="auto"/>
        <w:rPr>
          <w:rFonts w:ascii="Arial" w:cs="Arial" w:eastAsia="Arial" w:hAnsi="Arial"/>
          <w:sz w:val="17"/>
          <w:szCs w:val="17"/>
          <w:u w:val="single" w:color="auto"/>
          <w:color w:val="0000EE"/>
        </w:rPr>
      </w:pPr>
      <w:hyperlink r:id="rId138">
        <w:r>
          <w:rPr>
            <w:rFonts w:ascii="Arial" w:cs="Arial" w:eastAsia="Arial" w:hAnsi="Arial"/>
            <w:sz w:val="17"/>
            <w:szCs w:val="17"/>
            <w:u w:val="single" w:color="auto"/>
            <w:color w:val="0000EE"/>
          </w:rPr>
          <w:t>Second Amendment to Loan and Security Agreement, dated December 2, 2020, by and among Solar</w:t>
        </w:r>
      </w:hyperlink>
      <w:r>
        <w:rPr>
          <w:rFonts w:ascii="Arial" w:cs="Arial" w:eastAsia="Arial" w:hAnsi="Arial"/>
          <w:sz w:val="17"/>
          <w:szCs w:val="17"/>
          <w:u w:val="single" w:color="auto"/>
          <w:color w:val="0000EE"/>
        </w:rPr>
        <w:t xml:space="preserve"> </w:t>
      </w:r>
      <w:hyperlink r:id="rId138">
        <w:r>
          <w:rPr>
            <w:rFonts w:ascii="Arial" w:cs="Arial" w:eastAsia="Arial" w:hAnsi="Arial"/>
            <w:sz w:val="17"/>
            <w:szCs w:val="17"/>
            <w:u w:val="single" w:color="auto"/>
            <w:color w:val="0000EE"/>
          </w:rPr>
          <w:t>Capital Ltd., as collateral agent, the lenders listed on the signature pages thereto, and Neuronetics,</w:t>
        </w:r>
      </w:hyperlink>
      <w:r>
        <w:rPr>
          <w:rFonts w:ascii="Arial" w:cs="Arial" w:eastAsia="Arial" w:hAnsi="Arial"/>
          <w:sz w:val="17"/>
          <w:szCs w:val="17"/>
          <w:u w:val="single" w:color="auto"/>
          <w:color w:val="0000EE"/>
        </w:rPr>
        <w:t xml:space="preserve"> </w:t>
      </w:r>
      <w:hyperlink r:id="rId138">
        <w:r>
          <w:rPr>
            <w:rFonts w:ascii="Arial" w:cs="Arial" w:eastAsia="Arial" w:hAnsi="Arial"/>
            <w:sz w:val="17"/>
            <w:szCs w:val="17"/>
            <w:u w:val="single" w:color="auto"/>
            <w:color w:val="0000EE"/>
          </w:rPr>
          <w:t>Inc. (incorporated by reference to Exhibit 10.1 to the Registrant’s Current Report on Form 8-K filed on</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10.33</w:t>
      </w:r>
      <w:r>
        <w:rPr>
          <w:sz w:val="20"/>
          <w:szCs w:val="20"/>
          <w:color w:val="auto"/>
        </w:rPr>
        <w:tab/>
      </w:r>
      <w:hyperlink r:id="rId138">
        <w:r>
          <w:rPr>
            <w:rFonts w:ascii="Arial" w:cs="Arial" w:eastAsia="Arial" w:hAnsi="Arial"/>
            <w:sz w:val="17"/>
            <w:szCs w:val="17"/>
            <w:u w:val="single" w:color="auto"/>
            <w:color w:val="0000EE"/>
          </w:rPr>
          <w:t>December 8, 2020)</w:t>
        </w:r>
      </w:hyperlink>
    </w:p>
    <w:p>
      <w:pPr>
        <w:ind w:left="880" w:right="139"/>
        <w:spacing w:after="0" w:line="234" w:lineRule="auto"/>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Third Amendment to Loan and Security Agreement, dated February 15, 2022, by and among SLR</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Investment Corp. (formerly known as Solar Capital Ltd.), as collateral agent, the lenders listed on the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signature pages thereto, and Neuronetics, Inc. (incorporated by reference to Exhibit 10.1 to the</w:t>
        </w:r>
      </w:hyperlink>
    </w:p>
    <w:p>
      <w:pPr>
        <w:spacing w:after="0" w:line="2" w:lineRule="exact"/>
        <w:rPr>
          <w:rFonts w:ascii="Arial" w:cs="Arial" w:eastAsia="Arial" w:hAnsi="Arial"/>
          <w:sz w:val="18"/>
          <w:szCs w:val="18"/>
          <w:u w:val="single" w:color="auto"/>
          <w:color w:val="0000EE"/>
        </w:rPr>
      </w:pPr>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10.34</w:t>
      </w:r>
      <w:r>
        <w:rPr>
          <w:sz w:val="20"/>
          <w:szCs w:val="20"/>
          <w:color w:val="auto"/>
        </w:rPr>
        <w:tab/>
      </w:r>
      <w:hyperlink r:id="rId139">
        <w:r>
          <w:rPr>
            <w:rFonts w:ascii="Arial" w:cs="Arial" w:eastAsia="Arial" w:hAnsi="Arial"/>
            <w:sz w:val="17"/>
            <w:szCs w:val="17"/>
            <w:u w:val="single" w:color="auto"/>
            <w:color w:val="0000EE"/>
          </w:rPr>
          <w:t>Registrant’s Current Report on Form 8-K filed on February 22, 2022)</w:t>
        </w:r>
      </w:hyperlink>
    </w:p>
    <w:p>
      <w:pPr>
        <w:spacing w:after="0" w:line="200" w:lineRule="exact"/>
        <w:rPr>
          <w:rFonts w:ascii="Arial" w:cs="Arial" w:eastAsia="Arial" w:hAnsi="Arial"/>
          <w:sz w:val="18"/>
          <w:szCs w:val="18"/>
          <w:u w:val="single" w:color="auto"/>
          <w:color w:val="0000EE"/>
        </w:rPr>
      </w:pPr>
    </w:p>
    <w:p>
      <w:pPr>
        <w:spacing w:after="0" w:line="228"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80" w:right="79"/>
        <w:spacing w:after="0" w:line="234" w:lineRule="auto"/>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Secured Promissory Note, by and between Check Five LLC d/b/a Success TMS and the Registrant,</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dated September 29, 2021 (incorporated by reference to Exhibit 10.1 to the Form 8-K filed October 5,</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10.35</w:t>
      </w:r>
      <w:r>
        <w:rPr>
          <w:sz w:val="20"/>
          <w:szCs w:val="20"/>
          <w:color w:val="auto"/>
        </w:rPr>
        <w:tab/>
      </w:r>
      <w:hyperlink r:id="rId141">
        <w:r>
          <w:rPr>
            <w:rFonts w:ascii="Arial" w:cs="Arial" w:eastAsia="Arial" w:hAnsi="Arial"/>
            <w:sz w:val="17"/>
            <w:szCs w:val="17"/>
            <w:u w:val="single" w:color="auto"/>
            <w:color w:val="0000EE"/>
          </w:rPr>
          <w:t>2021)</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w:anchor="page122">
        <w:r>
          <w:rPr>
            <w:rFonts w:ascii="Arial" w:cs="Arial" w:eastAsia="Arial" w:hAnsi="Arial"/>
            <w:sz w:val="17"/>
            <w:szCs w:val="17"/>
            <w:u w:val="single" w:color="auto"/>
            <w:color w:val="0000EE"/>
          </w:rPr>
          <w:t>Consent of KPMG LLP, independent registered public accounting firm</w:t>
        </w:r>
      </w:hyperlink>
    </w:p>
    <w:p>
      <w:pPr>
        <w:ind w:left="880"/>
        <w:spacing w:after="0" w:line="235" w:lineRule="auto"/>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Certification of the Principal Executive Officer pursuant to Rule 13a-14(a) or 15d-14(a) of the</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123">
        <w:r>
          <w:rPr>
            <w:rFonts w:ascii="Arial" w:cs="Arial" w:eastAsia="Arial" w:hAnsi="Arial"/>
            <w:sz w:val="17"/>
            <w:szCs w:val="17"/>
            <w:u w:val="single" w:color="auto"/>
            <w:color w:val="0000EE"/>
          </w:rPr>
          <w:t>Securities Exchange Act of 1934.</w:t>
        </w:r>
      </w:hyperlink>
    </w:p>
    <w:p>
      <w:pPr>
        <w:ind w:left="880"/>
        <w:spacing w:after="0" w:line="235" w:lineRule="auto"/>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Certification of the Principal Financial Officer pursuant to Rule 13a-14(a) or 15d-14(a) of the</w:t>
        </w:r>
      </w:hyperlink>
    </w:p>
    <w:p>
      <w:pPr>
        <w:ind w:left="6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124">
        <w:r>
          <w:rPr>
            <w:rFonts w:ascii="Arial" w:cs="Arial" w:eastAsia="Arial" w:hAnsi="Arial"/>
            <w:sz w:val="17"/>
            <w:szCs w:val="17"/>
            <w:u w:val="single" w:color="auto"/>
            <w:color w:val="0000EE"/>
          </w:rPr>
          <w:t>Securities Exchange Act of 1934.</w:t>
        </w:r>
      </w:hyperlink>
    </w:p>
    <w:p>
      <w:pPr>
        <w:ind w:left="880"/>
        <w:spacing w:after="0" w:line="235" w:lineRule="auto"/>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Certification of the Principal Executive Officer and Principal Financial Officer pursuant to Rule 13a-</w:t>
        </w:r>
      </w:hyperlink>
    </w:p>
    <w:p>
      <w:pPr>
        <w:ind w:left="880" w:right="319" w:hanging="822"/>
        <w:spacing w:after="0" w:line="248" w:lineRule="auto"/>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32.1*</w:t>
      </w:r>
      <w:r>
        <w:rPr>
          <w:sz w:val="20"/>
          <w:szCs w:val="20"/>
          <w:color w:val="auto"/>
        </w:rPr>
        <w:tab/>
      </w:r>
      <w:hyperlink w:anchor="page125">
        <w:r>
          <w:rPr>
            <w:rFonts w:ascii="Arial" w:cs="Arial" w:eastAsia="Arial" w:hAnsi="Arial"/>
            <w:sz w:val="17"/>
            <w:szCs w:val="17"/>
            <w:u w:val="single" w:color="auto"/>
            <w:color w:val="0000EE"/>
          </w:rPr>
          <w:t>14(b) of the Securities Exchange Act of 1934, as amended, and 18 U.S.C. section 1350.</w:t>
        </w:r>
      </w:hyperlink>
      <w:r>
        <w:rPr>
          <w:rFonts w:ascii="Arial" w:cs="Arial" w:eastAsia="Arial" w:hAnsi="Arial"/>
          <w:sz w:val="17"/>
          <w:szCs w:val="17"/>
          <w:u w:val="single" w:color="auto"/>
          <w:color w:val="0000EE"/>
        </w:rPr>
        <w:t xml:space="preserve"> </w:t>
      </w:r>
      <w:r>
        <w:rPr>
          <w:rFonts w:ascii="Arial" w:cs="Arial" w:eastAsia="Arial" w:hAnsi="Arial"/>
          <w:sz w:val="17"/>
          <w:szCs w:val="17"/>
          <w:color w:val="000000"/>
        </w:rPr>
        <w:t>The following materials from the Company’s Annual Report on Form 10-K for the year ended December 31, 2021, were formatted in Inline XBRL (Extensible Business Reporting Language): (i) Balance Sheets, (ii) Statements of Operations, (iii) Statements of Changes in Stockholders’ Equity,</w:t>
      </w:r>
    </w:p>
    <w:p>
      <w:pPr>
        <w:spacing w:after="0" w:line="2" w:lineRule="exact"/>
        <w:rPr>
          <w:sz w:val="20"/>
          <w:szCs w:val="20"/>
          <w:color w:val="auto"/>
        </w:rPr>
      </w:pPr>
    </w:p>
    <w:p>
      <w:pPr>
        <w:jc w:val="both"/>
        <w:ind w:left="880" w:right="219" w:hanging="1"/>
        <w:spacing w:after="0" w:line="248"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Statements of Cash Flows, and (v) Notes to Financial Statements. The instance document does not appear in the Interactive Data File because its XBRL tags are embedded within the Inline XBRL</w:t>
      </w:r>
    </w:p>
    <w:p>
      <w:pPr>
        <w:ind w:left="60"/>
        <w:spacing w:after="0" w:line="235" w:lineRule="auto"/>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document.</w:t>
      </w:r>
    </w:p>
    <w:p>
      <w:pPr>
        <w:spacing w:after="0" w:line="1"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17913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5"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360" w:hanging="310"/>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2" w:lineRule="exact"/>
        <w:rPr>
          <w:sz w:val="20"/>
          <w:szCs w:val="20"/>
          <w:color w:val="auto"/>
        </w:rPr>
      </w:pPr>
    </w:p>
    <w:p>
      <w:pPr>
        <w:ind w:left="380" w:right="499" w:hanging="330"/>
        <w:spacing w:after="0" w:line="246"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Securities and Exchange Commission.</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Page</w:t>
            </w:r>
          </w:p>
        </w:tc>
      </w:tr>
      <w:tr>
        <w:trPr>
          <w:trHeight w:val="236"/>
        </w:trPr>
        <w:tc>
          <w:tcPr>
            <w:tcW w:w="20" w:type="dxa"/>
            <w:vAlign w:val="bottom"/>
          </w:tcPr>
          <w:p>
            <w:pPr>
              <w:spacing w:after="0"/>
              <w:rPr>
                <w:sz w:val="20"/>
                <w:szCs w:val="20"/>
                <w:color w:val="auto"/>
              </w:rPr>
            </w:pPr>
          </w:p>
        </w:tc>
        <w:tc>
          <w:tcPr>
            <w:tcW w:w="8340" w:type="dxa"/>
            <w:vAlign w:val="bottom"/>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185)</w:t>
            </w:r>
          </w:p>
        </w:tc>
        <w:tc>
          <w:tcPr>
            <w:tcW w:w="560" w:type="dxa"/>
            <w:vAlign w:val="bottom"/>
          </w:tcPr>
          <w:p>
            <w:pPr>
              <w:ind w:left="260"/>
              <w:spacing w:after="0"/>
              <w:rPr>
                <w:sz w:val="20"/>
                <w:szCs w:val="20"/>
                <w:color w:val="auto"/>
              </w:rPr>
            </w:pPr>
            <w:r>
              <w:rPr>
                <w:rFonts w:ascii="Arial" w:cs="Arial" w:eastAsia="Arial" w:hAnsi="Arial"/>
                <w:sz w:val="18"/>
                <w:szCs w:val="18"/>
                <w:color w:val="auto"/>
              </w:rPr>
              <w:t>F-2</w:t>
            </w:r>
          </w:p>
        </w:tc>
      </w:tr>
      <w:tr>
        <w:trPr>
          <w:trHeight w:val="291"/>
        </w:trPr>
        <w:tc>
          <w:tcPr>
            <w:tcW w:w="20" w:type="dxa"/>
            <w:vAlign w:val="bottom"/>
          </w:tcPr>
          <w:p>
            <w:pPr>
              <w:spacing w:after="0"/>
              <w:rPr>
                <w:sz w:val="24"/>
                <w:szCs w:val="24"/>
                <w:color w:val="auto"/>
              </w:rPr>
            </w:pPr>
          </w:p>
        </w:tc>
        <w:tc>
          <w:tcPr>
            <w:tcW w:w="12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88">
              <w:r>
                <w:rPr>
                  <w:rFonts w:ascii="Arial" w:cs="Arial" w:eastAsia="Arial" w:hAnsi="Arial"/>
                  <w:sz w:val="18"/>
                  <w:szCs w:val="18"/>
                  <w:color w:val="0000EE"/>
                  <w:w w:val="98"/>
                </w:rPr>
                <w:t>Balance Sheets</w:t>
              </w:r>
            </w:hyperlink>
          </w:p>
        </w:tc>
        <w:tc>
          <w:tcPr>
            <w:tcW w:w="3340" w:type="dxa"/>
            <w:vAlign w:val="bottom"/>
            <w:tcBorders>
              <w:top w:val="single" w:sz="8" w:color="0000EE"/>
            </w:tcBorders>
            <w:gridSpan w:val="5"/>
          </w:tcPr>
          <w:p>
            <w:pPr>
              <w:spacing w:after="0"/>
              <w:rPr>
                <w:sz w:val="24"/>
                <w:szCs w:val="24"/>
                <w:color w:val="auto"/>
              </w:rPr>
            </w:pPr>
          </w:p>
        </w:tc>
        <w:tc>
          <w:tcPr>
            <w:tcW w:w="374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F-3</w:t>
            </w:r>
          </w:p>
        </w:tc>
      </w:tr>
      <w:tr>
        <w:trPr>
          <w:trHeight w:val="291"/>
        </w:trPr>
        <w:tc>
          <w:tcPr>
            <w:tcW w:w="20" w:type="dxa"/>
            <w:vAlign w:val="bottom"/>
          </w:tcPr>
          <w:p>
            <w:pPr>
              <w:spacing w:after="0"/>
              <w:rPr>
                <w:sz w:val="24"/>
                <w:szCs w:val="24"/>
                <w:color w:val="auto"/>
              </w:rPr>
            </w:pPr>
          </w:p>
        </w:tc>
        <w:tc>
          <w:tcPr>
            <w:tcW w:w="204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89">
              <w:r>
                <w:rPr>
                  <w:rFonts w:ascii="Arial" w:cs="Arial" w:eastAsia="Arial" w:hAnsi="Arial"/>
                  <w:sz w:val="18"/>
                  <w:szCs w:val="18"/>
                  <w:color w:val="0000EE"/>
                  <w:w w:val="98"/>
                </w:rPr>
                <w:t>Statements of Operations</w:t>
              </w:r>
            </w:hyperlink>
          </w:p>
        </w:tc>
        <w:tc>
          <w:tcPr>
            <w:tcW w:w="6300" w:type="dxa"/>
            <w:vAlign w:val="bottom"/>
            <w:gridSpan w:val="5"/>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F-4</w:t>
            </w:r>
          </w:p>
        </w:tc>
      </w:tr>
      <w:tr>
        <w:trPr>
          <w:trHeight w:val="290"/>
        </w:trPr>
        <w:tc>
          <w:tcPr>
            <w:tcW w:w="20" w:type="dxa"/>
            <w:vAlign w:val="bottom"/>
          </w:tcPr>
          <w:p>
            <w:pPr>
              <w:spacing w:after="0"/>
              <w:rPr>
                <w:sz w:val="24"/>
                <w:szCs w:val="24"/>
                <w:color w:val="auto"/>
              </w:rPr>
            </w:pPr>
          </w:p>
        </w:tc>
        <w:tc>
          <w:tcPr>
            <w:tcW w:w="8340" w:type="dxa"/>
            <w:vAlign w:val="bottom"/>
            <w:gridSpan w:val="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Statements of Changes in Stockholders’ Equity</w:t>
              </w:r>
            </w:hyperlink>
          </w:p>
        </w:tc>
        <w:tc>
          <w:tcPr>
            <w:tcW w:w="560" w:type="dxa"/>
            <w:vAlign w:val="bottom"/>
          </w:tcPr>
          <w:p>
            <w:pPr>
              <w:ind w:left="260"/>
              <w:spacing w:after="0"/>
              <w:rPr>
                <w:sz w:val="20"/>
                <w:szCs w:val="20"/>
                <w:color w:val="auto"/>
              </w:rPr>
            </w:pPr>
            <w:r>
              <w:rPr>
                <w:rFonts w:ascii="Arial" w:cs="Arial" w:eastAsia="Arial" w:hAnsi="Arial"/>
                <w:sz w:val="18"/>
                <w:szCs w:val="18"/>
                <w:color w:val="auto"/>
              </w:rPr>
              <w:t>F-5</w:t>
            </w:r>
          </w:p>
        </w:tc>
      </w:tr>
      <w:tr>
        <w:trPr>
          <w:trHeight w:val="291"/>
        </w:trPr>
        <w:tc>
          <w:tcPr>
            <w:tcW w:w="2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91">
              <w:r>
                <w:rPr>
                  <w:rFonts w:ascii="Arial" w:cs="Arial" w:eastAsia="Arial" w:hAnsi="Arial"/>
                  <w:sz w:val="18"/>
                  <w:szCs w:val="18"/>
                  <w:color w:val="0000EE"/>
                  <w:w w:val="98"/>
                </w:rPr>
                <w:t>Statements of Cash Flows</w:t>
              </w:r>
            </w:hyperlink>
          </w:p>
        </w:tc>
        <w:tc>
          <w:tcPr>
            <w:tcW w:w="1640" w:type="dxa"/>
            <w:vAlign w:val="bottom"/>
            <w:tcBorders>
              <w:top w:val="single" w:sz="8" w:color="0000EE"/>
            </w:tcBorders>
            <w:gridSpan w:val="2"/>
          </w:tcPr>
          <w:p>
            <w:pPr>
              <w:spacing w:after="0"/>
              <w:rPr>
                <w:sz w:val="24"/>
                <w:szCs w:val="24"/>
                <w:color w:val="auto"/>
              </w:rPr>
            </w:pPr>
          </w:p>
        </w:tc>
        <w:tc>
          <w:tcPr>
            <w:tcW w:w="4600" w:type="dxa"/>
            <w:vAlign w:val="bottom"/>
            <w:gridSpan w:val="2"/>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F-6</w:t>
            </w:r>
          </w:p>
        </w:tc>
      </w:tr>
      <w:tr>
        <w:trPr>
          <w:trHeight w:val="263"/>
        </w:trPr>
        <w:tc>
          <w:tcPr>
            <w:tcW w:w="20" w:type="dxa"/>
            <w:vAlign w:val="bottom"/>
          </w:tcPr>
          <w:p>
            <w:pPr>
              <w:spacing w:after="0"/>
              <w:rPr>
                <w:sz w:val="22"/>
                <w:szCs w:val="22"/>
                <w:color w:val="auto"/>
              </w:rPr>
            </w:pPr>
          </w:p>
        </w:tc>
        <w:tc>
          <w:tcPr>
            <w:tcW w:w="834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Notes to Financial Statements</w:t>
              </w:r>
            </w:hyperlink>
          </w:p>
        </w:tc>
        <w:tc>
          <w:tcPr>
            <w:tcW w:w="560" w:type="dxa"/>
            <w:vAlign w:val="bottom"/>
          </w:tcPr>
          <w:p>
            <w:pPr>
              <w:ind w:left="260"/>
              <w:spacing w:after="0"/>
              <w:rPr>
                <w:sz w:val="20"/>
                <w:szCs w:val="20"/>
                <w:color w:val="auto"/>
              </w:rPr>
            </w:pPr>
            <w:r>
              <w:rPr>
                <w:rFonts w:ascii="Arial" w:cs="Arial" w:eastAsia="Arial" w:hAnsi="Arial"/>
                <w:sz w:val="18"/>
                <w:szCs w:val="18"/>
                <w:color w:val="auto"/>
              </w:rPr>
              <w:t>F-7</w:t>
            </w:r>
          </w:p>
        </w:tc>
      </w:tr>
      <w:tr>
        <w:trPr>
          <w:trHeight w:val="8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4600" w:type="dxa"/>
            <w:vAlign w:val="bottom"/>
            <w:gridSpan w:val="2"/>
          </w:tcPr>
          <w:p>
            <w:pPr>
              <w:ind w:left="56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ind w:left="60"/>
        <w:spacing w:after="0"/>
        <w:rPr>
          <w:sz w:val="20"/>
          <w:szCs w:val="20"/>
          <w:color w:val="auto"/>
        </w:rPr>
      </w:pPr>
      <w:r>
        <w:rPr>
          <w:rFonts w:ascii="Arial" w:cs="Arial" w:eastAsia="Arial" w:hAnsi="Arial"/>
          <w:sz w:val="18"/>
          <w:szCs w:val="18"/>
          <w:color w:val="auto"/>
        </w:rPr>
        <w:t>Neuronetics, Inc.:</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Financial Statements</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audited the accompanying balance sheets of Neuronetics, Inc. (the Company) as of December 31, 2021 and 2020, the related statements of operations, changes in stockholders’ equity, and cash flows for each of the years in the three-year period ended December 31, 2021, and the related notes (collectively, the financial statements). In our opinion, the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230"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2003.</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Philadelphia, Pennsylvania</w:t>
      </w:r>
    </w:p>
    <w:p>
      <w:pPr>
        <w:ind w:left="60"/>
        <w:spacing w:after="0"/>
        <w:rPr>
          <w:sz w:val="20"/>
          <w:szCs w:val="20"/>
          <w:color w:val="auto"/>
        </w:rPr>
      </w:pPr>
      <w:r>
        <w:rPr>
          <w:rFonts w:ascii="Arial" w:cs="Arial" w:eastAsia="Arial" w:hAnsi="Arial"/>
          <w:sz w:val="18"/>
          <w:szCs w:val="18"/>
          <w:color w:val="auto"/>
        </w:rPr>
        <w:t>March 8,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ind w:left="360"/>
              <w:spacing w:after="0"/>
              <w:rPr>
                <w:sz w:val="20"/>
                <w:szCs w:val="20"/>
                <w:color w:val="auto"/>
              </w:rPr>
            </w:pPr>
            <w:r>
              <w:rPr>
                <w:rFonts w:ascii="Arial" w:cs="Arial" w:eastAsia="Arial" w:hAnsi="Arial"/>
                <w:sz w:val="17"/>
                <w:szCs w:val="17"/>
                <w:b w:val="1"/>
                <w:bCs w:val="1"/>
                <w:color w:val="auto"/>
              </w:rPr>
              <w:t>December 31,</w:t>
            </w:r>
          </w:p>
        </w:tc>
      </w:tr>
      <w:tr>
        <w:trPr>
          <w:trHeight w:val="183"/>
        </w:trPr>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35"/>
              <w:spacing w:after="0" w:line="183" w:lineRule="exact"/>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35"/>
              <w:spacing w:after="0" w:line="183"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5"/>
                <w:szCs w:val="15"/>
                <w:color w:val="auto"/>
              </w:rPr>
            </w:pPr>
          </w:p>
        </w:tc>
      </w:tr>
      <w:tr>
        <w:trPr>
          <w:trHeight w:val="156"/>
        </w:trPr>
        <w:tc>
          <w:tcPr>
            <w:tcW w:w="6620" w:type="dxa"/>
            <w:vAlign w:val="bottom"/>
            <w:gridSpan w:val="4"/>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7"/>
        </w:trPr>
        <w:tc>
          <w:tcPr>
            <w:tcW w:w="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62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60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94,141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48,957</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0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7,706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7,166</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60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Inventory</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6,563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3,720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0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Current portion of net investments in sales-type leases</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2,198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1,887</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60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Current portion of prepaid commission expense</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1,559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1,096</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0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Current portion of note receivables</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74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60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3,090</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2,186</w:t>
            </w:r>
          </w:p>
        </w:tc>
        <w:tc>
          <w:tcPr>
            <w:tcW w:w="20" w:type="dxa"/>
            <w:vAlign w:val="bottom"/>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600" w:type="dxa"/>
            <w:vAlign w:val="bottom"/>
            <w:tcBorders>
              <w:bottom w:val="single" w:sz="8" w:color="CCEEFF"/>
            </w:tcBorders>
            <w:gridSpan w:val="3"/>
          </w:tcPr>
          <w:p>
            <w:pPr>
              <w:ind w:left="200"/>
              <w:spacing w:after="0" w:line="183" w:lineRule="exact"/>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115,331</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65,012</w:t>
            </w:r>
          </w:p>
        </w:tc>
        <w:tc>
          <w:tcPr>
            <w:tcW w:w="20" w:type="dxa"/>
            <w:vAlign w:val="bottom"/>
          </w:tcPr>
          <w:p>
            <w:pPr>
              <w:spacing w:after="0"/>
              <w:rPr>
                <w:sz w:val="15"/>
                <w:szCs w:val="15"/>
                <w:color w:val="auto"/>
              </w:rPr>
            </w:pPr>
          </w:p>
        </w:tc>
      </w:tr>
      <w:tr>
        <w:trPr>
          <w:trHeight w:val="183"/>
        </w:trPr>
        <w:tc>
          <w:tcPr>
            <w:tcW w:w="6620" w:type="dxa"/>
            <w:vAlign w:val="bottom"/>
            <w:gridSpan w:val="4"/>
            <w:shd w:val="clear" w:color="auto" w:fill="CCEEFF"/>
          </w:tcPr>
          <w:p>
            <w:pPr>
              <w:ind w:left="20"/>
              <w:spacing w:after="0" w:line="183" w:lineRule="exact"/>
              <w:rPr>
                <w:sz w:val="20"/>
                <w:szCs w:val="20"/>
                <w:color w:val="auto"/>
              </w:rPr>
            </w:pPr>
            <w:r>
              <w:rPr>
                <w:rFonts w:ascii="Arial" w:cs="Arial" w:eastAsia="Arial" w:hAnsi="Arial"/>
                <w:sz w:val="17"/>
                <w:szCs w:val="17"/>
                <w:color w:val="auto"/>
              </w:rPr>
              <w:t>Property and equipment, net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1,220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730</w:t>
            </w:r>
          </w:p>
        </w:tc>
        <w:tc>
          <w:tcPr>
            <w:tcW w:w="20" w:type="dxa"/>
            <w:vAlign w:val="bottom"/>
          </w:tcPr>
          <w:p>
            <w:pPr>
              <w:spacing w:after="0"/>
              <w:rPr>
                <w:sz w:val="15"/>
                <w:szCs w:val="15"/>
                <w:color w:val="auto"/>
              </w:rPr>
            </w:pPr>
          </w:p>
        </w:tc>
      </w:tr>
      <w:tr>
        <w:trPr>
          <w:trHeight w:val="189"/>
        </w:trPr>
        <w:tc>
          <w:tcPr>
            <w:tcW w:w="662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Operating lease right-of-use assets</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3,884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3,418</w:t>
            </w:r>
          </w:p>
        </w:tc>
        <w:tc>
          <w:tcPr>
            <w:tcW w:w="20" w:type="dxa"/>
            <w:vAlign w:val="bottom"/>
          </w:tcPr>
          <w:p>
            <w:pPr>
              <w:spacing w:after="0"/>
              <w:rPr>
                <w:sz w:val="16"/>
                <w:szCs w:val="16"/>
                <w:color w:val="auto"/>
              </w:rPr>
            </w:pPr>
          </w:p>
        </w:tc>
      </w:tr>
      <w:tr>
        <w:trPr>
          <w:trHeight w:val="189"/>
        </w:trPr>
        <w:tc>
          <w:tcPr>
            <w:tcW w:w="66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7"/>
                <w:szCs w:val="17"/>
                <w:color w:val="auto"/>
              </w:rPr>
              <w:t>Net investments in sales-type leases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1,697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2,331</w:t>
            </w:r>
          </w:p>
        </w:tc>
        <w:tc>
          <w:tcPr>
            <w:tcW w:w="20" w:type="dxa"/>
            <w:vAlign w:val="bottom"/>
          </w:tcPr>
          <w:p>
            <w:pPr>
              <w:spacing w:after="0"/>
              <w:rPr>
                <w:sz w:val="16"/>
                <w:szCs w:val="16"/>
                <w:color w:val="auto"/>
              </w:rPr>
            </w:pPr>
          </w:p>
        </w:tc>
      </w:tr>
      <w:tr>
        <w:trPr>
          <w:trHeight w:val="189"/>
        </w:trPr>
        <w:tc>
          <w:tcPr>
            <w:tcW w:w="662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Prepaid commission expense</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6,763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5,300</w:t>
            </w:r>
          </w:p>
        </w:tc>
        <w:tc>
          <w:tcPr>
            <w:tcW w:w="20" w:type="dxa"/>
            <w:vAlign w:val="bottom"/>
          </w:tcPr>
          <w:p>
            <w:pPr>
              <w:spacing w:after="0"/>
              <w:rPr>
                <w:sz w:val="16"/>
                <w:szCs w:val="16"/>
                <w:color w:val="auto"/>
              </w:rPr>
            </w:pPr>
          </w:p>
        </w:tc>
      </w:tr>
      <w:tr>
        <w:trPr>
          <w:trHeight w:val="189"/>
        </w:trPr>
        <w:tc>
          <w:tcPr>
            <w:tcW w:w="66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7"/>
                <w:szCs w:val="17"/>
                <w:color w:val="auto"/>
              </w:rPr>
              <w:t>Long-term note receivables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10,110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9"/>
        </w:trPr>
        <w:tc>
          <w:tcPr>
            <w:tcW w:w="6620" w:type="dxa"/>
            <w:vAlign w:val="bottom"/>
            <w:tcBorders>
              <w:bottom w:val="single" w:sz="8" w:color="CCEEFF"/>
            </w:tcBorders>
            <w:gridSpan w:val="4"/>
          </w:tcPr>
          <w:p>
            <w:pPr>
              <w:ind w:left="20"/>
              <w:spacing w:after="0" w:line="189" w:lineRule="exact"/>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2,218</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1,866</w:t>
            </w:r>
          </w:p>
        </w:tc>
        <w:tc>
          <w:tcPr>
            <w:tcW w:w="20" w:type="dxa"/>
            <w:vAlign w:val="bottom"/>
          </w:tcPr>
          <w:p>
            <w:pPr>
              <w:spacing w:after="0"/>
              <w:rPr>
                <w:sz w:val="16"/>
                <w:szCs w:val="16"/>
                <w:color w:val="auto"/>
              </w:rPr>
            </w:pPr>
          </w:p>
        </w:tc>
      </w:tr>
      <w:tr>
        <w:trPr>
          <w:trHeight w:val="183"/>
        </w:trPr>
        <w:tc>
          <w:tcPr>
            <w:tcW w:w="20" w:type="dxa"/>
            <w:vAlign w:val="bottom"/>
            <w:shd w:val="clear" w:color="auto" w:fill="CCEEFF"/>
          </w:tcPr>
          <w:p>
            <w:pPr>
              <w:spacing w:after="0"/>
              <w:rPr>
                <w:sz w:val="15"/>
                <w:szCs w:val="15"/>
                <w:color w:val="auto"/>
              </w:rPr>
            </w:pPr>
          </w:p>
        </w:tc>
        <w:tc>
          <w:tcPr>
            <w:tcW w:w="660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141,223</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78,657</w:t>
            </w:r>
          </w:p>
        </w:tc>
        <w:tc>
          <w:tcPr>
            <w:tcW w:w="20" w:type="dxa"/>
            <w:vAlign w:val="bottom"/>
          </w:tcPr>
          <w:p>
            <w:pPr>
              <w:spacing w:after="0"/>
              <w:rPr>
                <w:sz w:val="15"/>
                <w:szCs w:val="15"/>
                <w:color w:val="auto"/>
              </w:rPr>
            </w:pPr>
          </w:p>
        </w:tc>
      </w:tr>
      <w:tr>
        <w:trPr>
          <w:trHeight w:val="156"/>
        </w:trPr>
        <w:tc>
          <w:tcPr>
            <w:tcW w:w="6620" w:type="dxa"/>
            <w:vAlign w:val="bottom"/>
            <w:gridSpan w:val="4"/>
          </w:tcPr>
          <w:p>
            <w:pPr>
              <w:ind w:left="20"/>
              <w:spacing w:after="0" w:line="155" w:lineRule="exact"/>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6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0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4,299</w:t>
            </w:r>
          </w:p>
        </w:tc>
        <w:tc>
          <w:tcPr>
            <w:tcW w:w="220" w:type="dxa"/>
            <w:vAlign w:val="bottom"/>
          </w:tcPr>
          <w:p>
            <w:pPr>
              <w:spacing w:after="0"/>
              <w:rPr>
                <w:sz w:val="16"/>
                <w:szCs w:val="16"/>
                <w:color w:val="auto"/>
              </w:rPr>
            </w:pP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3,749</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60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Accrued expenses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8,233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7,319</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0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Deferred revenue</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2,501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2,020</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60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Current portion of operating lease liabilities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670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0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Current portion of long-term debt, net</w:t>
            </w:r>
          </w:p>
        </w:tc>
        <w:tc>
          <w:tcPr>
            <w:tcW w:w="20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6600" w:type="dxa"/>
            <w:vAlign w:val="bottom"/>
            <w:tcBorders>
              <w:top w:val="single" w:sz="8" w:color="CCEEFF"/>
            </w:tcBorders>
            <w:gridSpan w:val="3"/>
            <w:shd w:val="clear" w:color="auto" w:fill="CCEEFF"/>
          </w:tcPr>
          <w:p>
            <w:pPr>
              <w:ind w:left="200"/>
              <w:spacing w:after="0" w:line="183" w:lineRule="exact"/>
              <w:rPr>
                <w:sz w:val="20"/>
                <w:szCs w:val="20"/>
                <w:color w:val="auto"/>
              </w:rPr>
            </w:pPr>
            <w:r>
              <w:rPr>
                <w:rFonts w:ascii="Arial" w:cs="Arial" w:eastAsia="Arial" w:hAnsi="Arial"/>
                <w:sz w:val="17"/>
                <w:szCs w:val="17"/>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15,703</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13,682</w:t>
            </w:r>
          </w:p>
        </w:tc>
        <w:tc>
          <w:tcPr>
            <w:tcW w:w="20" w:type="dxa"/>
            <w:vAlign w:val="bottom"/>
          </w:tcPr>
          <w:p>
            <w:pPr>
              <w:spacing w:after="0"/>
              <w:rPr>
                <w:sz w:val="15"/>
                <w:szCs w:val="15"/>
                <w:color w:val="auto"/>
              </w:rPr>
            </w:pPr>
          </w:p>
        </w:tc>
      </w:tr>
      <w:tr>
        <w:trPr>
          <w:trHeight w:val="183"/>
        </w:trPr>
        <w:tc>
          <w:tcPr>
            <w:tcW w:w="6620" w:type="dxa"/>
            <w:vAlign w:val="bottom"/>
            <w:gridSpan w:val="4"/>
          </w:tcPr>
          <w:p>
            <w:pPr>
              <w:ind w:left="20"/>
              <w:spacing w:after="0" w:line="183" w:lineRule="exact"/>
              <w:rPr>
                <w:sz w:val="20"/>
                <w:szCs w:val="20"/>
                <w:color w:val="auto"/>
              </w:rPr>
            </w:pPr>
            <w:r>
              <w:rPr>
                <w:rFonts w:ascii="Arial" w:cs="Arial" w:eastAsia="Arial" w:hAnsi="Arial"/>
                <w:sz w:val="17"/>
                <w:szCs w:val="17"/>
                <w:color w:val="auto"/>
              </w:rPr>
              <w:t>Long-term debt, net</w:t>
            </w: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7"/>
                <w:szCs w:val="17"/>
                <w:color w:val="auto"/>
              </w:rPr>
              <w:t>35,335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34,620</w:t>
            </w:r>
          </w:p>
        </w:tc>
        <w:tc>
          <w:tcPr>
            <w:tcW w:w="20" w:type="dxa"/>
            <w:vAlign w:val="bottom"/>
          </w:tcPr>
          <w:p>
            <w:pPr>
              <w:spacing w:after="0"/>
              <w:rPr>
                <w:sz w:val="15"/>
                <w:szCs w:val="15"/>
                <w:color w:val="auto"/>
              </w:rPr>
            </w:pPr>
          </w:p>
        </w:tc>
      </w:tr>
      <w:tr>
        <w:trPr>
          <w:trHeight w:val="189"/>
        </w:trPr>
        <w:tc>
          <w:tcPr>
            <w:tcW w:w="66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1,471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1,741</w:t>
            </w:r>
          </w:p>
        </w:tc>
        <w:tc>
          <w:tcPr>
            <w:tcW w:w="20" w:type="dxa"/>
            <w:vAlign w:val="bottom"/>
          </w:tcPr>
          <w:p>
            <w:pPr>
              <w:spacing w:after="0"/>
              <w:rPr>
                <w:sz w:val="16"/>
                <w:szCs w:val="16"/>
                <w:color w:val="auto"/>
              </w:rPr>
            </w:pPr>
          </w:p>
        </w:tc>
      </w:tr>
      <w:tr>
        <w:trPr>
          <w:trHeight w:val="189"/>
        </w:trPr>
        <w:tc>
          <w:tcPr>
            <w:tcW w:w="6620" w:type="dxa"/>
            <w:vAlign w:val="bottom"/>
            <w:tcBorders>
              <w:bottom w:val="single" w:sz="8" w:color="CCEEFF"/>
            </w:tcBorders>
            <w:gridSpan w:val="4"/>
          </w:tcPr>
          <w:p>
            <w:pPr>
              <w:ind w:left="20"/>
              <w:spacing w:after="0" w:line="189" w:lineRule="exact"/>
              <w:rPr>
                <w:sz w:val="20"/>
                <w:szCs w:val="20"/>
                <w:color w:val="auto"/>
              </w:rPr>
            </w:pPr>
            <w:r>
              <w:rPr>
                <w:rFonts w:ascii="Arial" w:cs="Arial" w:eastAsia="Arial" w:hAnsi="Arial"/>
                <w:sz w:val="17"/>
                <w:szCs w:val="17"/>
                <w:color w:val="auto"/>
              </w:rPr>
              <w:t>Operating lease liabilities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3,539</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3,121</w:t>
            </w:r>
          </w:p>
        </w:tc>
        <w:tc>
          <w:tcPr>
            <w:tcW w:w="20" w:type="dxa"/>
            <w:vAlign w:val="bottom"/>
          </w:tcPr>
          <w:p>
            <w:pPr>
              <w:spacing w:after="0"/>
              <w:rPr>
                <w:sz w:val="16"/>
                <w:szCs w:val="16"/>
                <w:color w:val="auto"/>
              </w:rPr>
            </w:pPr>
          </w:p>
        </w:tc>
      </w:tr>
      <w:tr>
        <w:trPr>
          <w:trHeight w:val="183"/>
        </w:trPr>
        <w:tc>
          <w:tcPr>
            <w:tcW w:w="20" w:type="dxa"/>
            <w:vAlign w:val="bottom"/>
            <w:shd w:val="clear" w:color="auto" w:fill="CCEEFF"/>
          </w:tcPr>
          <w:p>
            <w:pPr>
              <w:spacing w:after="0"/>
              <w:rPr>
                <w:sz w:val="15"/>
                <w:szCs w:val="15"/>
                <w:color w:val="auto"/>
              </w:rPr>
            </w:pPr>
          </w:p>
        </w:tc>
        <w:tc>
          <w:tcPr>
            <w:tcW w:w="660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56,048</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53,164</w:t>
            </w:r>
          </w:p>
        </w:tc>
        <w:tc>
          <w:tcPr>
            <w:tcW w:w="20" w:type="dxa"/>
            <w:vAlign w:val="bottom"/>
          </w:tcPr>
          <w:p>
            <w:pPr>
              <w:spacing w:after="0"/>
              <w:rPr>
                <w:sz w:val="15"/>
                <w:szCs w:val="15"/>
                <w:color w:val="auto"/>
              </w:rPr>
            </w:pPr>
          </w:p>
        </w:tc>
      </w:tr>
      <w:tr>
        <w:trPr>
          <w:trHeight w:val="183"/>
        </w:trPr>
        <w:tc>
          <w:tcPr>
            <w:tcW w:w="6620" w:type="dxa"/>
            <w:vAlign w:val="bottom"/>
            <w:gridSpan w:val="4"/>
          </w:tcPr>
          <w:p>
            <w:pPr>
              <w:ind w:left="20"/>
              <w:spacing w:after="0" w:line="183" w:lineRule="exact"/>
              <w:rPr>
                <w:sz w:val="20"/>
                <w:szCs w:val="20"/>
                <w:color w:val="auto"/>
              </w:rPr>
            </w:pPr>
            <w:r>
              <w:rPr>
                <w:rFonts w:ascii="Arial" w:cs="Arial" w:eastAsia="Arial" w:hAnsi="Arial"/>
                <w:sz w:val="17"/>
                <w:szCs w:val="17"/>
                <w:color w:val="auto"/>
              </w:rPr>
              <w:t>Commitments and contingencies (Note 18)</w:t>
            </w: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r>
      <w:tr>
        <w:trPr>
          <w:trHeight w:val="189"/>
        </w:trPr>
        <w:tc>
          <w:tcPr>
            <w:tcW w:w="66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0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Preferred stock, $0.01 par value: 10,000 shares authorized; no shares issued or</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60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outstanding at December 31, 2021 and December 31, 2020</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0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Common stock, $0.01 par value: 200,000 shares authorized; 26,395 and 19,114</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shd w:val="clear" w:color="auto" w:fill="CCEEFF"/>
          </w:tcPr>
          <w:p>
            <w:pPr>
              <w:spacing w:after="0"/>
              <w:rPr>
                <w:sz w:val="15"/>
                <w:szCs w:val="15"/>
                <w:color w:val="auto"/>
              </w:rPr>
            </w:pPr>
          </w:p>
        </w:tc>
        <w:tc>
          <w:tcPr>
            <w:tcW w:w="6600" w:type="dxa"/>
            <w:vAlign w:val="bottom"/>
            <w:gridSpan w:val="3"/>
            <w:shd w:val="clear" w:color="auto" w:fill="CCEEFF"/>
          </w:tcPr>
          <w:p>
            <w:pPr>
              <w:ind w:left="100"/>
              <w:spacing w:after="0" w:line="183" w:lineRule="exact"/>
              <w:rPr>
                <w:sz w:val="20"/>
                <w:szCs w:val="20"/>
                <w:color w:val="auto"/>
              </w:rPr>
            </w:pPr>
            <w:r>
              <w:rPr>
                <w:rFonts w:ascii="Arial" w:cs="Arial" w:eastAsia="Arial" w:hAnsi="Arial"/>
                <w:sz w:val="17"/>
                <w:szCs w:val="17"/>
                <w:color w:val="auto"/>
              </w:rPr>
              <w:t>shares issued and outstanding at December 31, 2021 and December 31, 2020,</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20" w:type="dxa"/>
            <w:vAlign w:val="bottom"/>
            <w:shd w:val="clear" w:color="auto" w:fill="CCEEFF"/>
          </w:tcPr>
          <w:p>
            <w:pPr>
              <w:spacing w:after="0"/>
              <w:rPr>
                <w:sz w:val="16"/>
                <w:szCs w:val="16"/>
                <w:color w:val="auto"/>
              </w:rPr>
            </w:pP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respectively</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0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393,644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302,842</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660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Accumulated deficit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(308,733)</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(277,540)</w:t>
            </w:r>
          </w:p>
        </w:tc>
        <w:tc>
          <w:tcPr>
            <w:tcW w:w="20" w:type="dxa"/>
            <w:vAlign w:val="bottom"/>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600" w:type="dxa"/>
            <w:vAlign w:val="bottom"/>
            <w:tcBorders>
              <w:bottom w:val="single" w:sz="8" w:color="CCEEFF"/>
            </w:tcBorders>
            <w:gridSpan w:val="3"/>
          </w:tcPr>
          <w:p>
            <w:pPr>
              <w:ind w:left="200"/>
              <w:spacing w:after="0" w:line="183" w:lineRule="exact"/>
              <w:rPr>
                <w:sz w:val="20"/>
                <w:szCs w:val="20"/>
                <w:color w:val="auto"/>
              </w:rPr>
            </w:pPr>
            <w:r>
              <w:rPr>
                <w:rFonts w:ascii="Arial" w:cs="Arial" w:eastAsia="Arial" w:hAnsi="Arial"/>
                <w:sz w:val="17"/>
                <w:szCs w:val="17"/>
                <w:color w:val="auto"/>
              </w:rPr>
              <w:t>Total Stockholders' Equity</w:t>
            </w: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85,175</w:t>
            </w:r>
          </w:p>
        </w:tc>
        <w:tc>
          <w:tcPr>
            <w:tcW w:w="2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25,493</w:t>
            </w:r>
          </w:p>
        </w:tc>
        <w:tc>
          <w:tcPr>
            <w:tcW w:w="20" w:type="dxa"/>
            <w:vAlign w:val="bottom"/>
          </w:tcPr>
          <w:p>
            <w:pPr>
              <w:spacing w:after="0"/>
              <w:rPr>
                <w:sz w:val="15"/>
                <w:szCs w:val="15"/>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6600" w:type="dxa"/>
            <w:vAlign w:val="bottom"/>
            <w:tcBorders>
              <w:bottom w:val="single" w:sz="8" w:color="CCEEFF"/>
            </w:tcBorders>
            <w:gridSpan w:val="3"/>
            <w:shd w:val="clear" w:color="auto" w:fill="CCEEFF"/>
          </w:tcPr>
          <w:p>
            <w:pPr>
              <w:ind w:left="200"/>
              <w:spacing w:after="0" w:line="183" w:lineRule="exact"/>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141,223</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78,657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55,312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49,244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11,653</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11,554</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43,659</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37,690</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37,746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25,554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18,236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17,457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7,923</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9,201</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71,223</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59,999</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(27,564)</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(22,309)</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(390)</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(31,193)</w:t>
            </w:r>
          </w:p>
        </w:tc>
        <w:tc>
          <w:tcPr>
            <w:tcW w:w="2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(27,453)</w:t>
            </w:r>
          </w:p>
        </w:tc>
        <w:tc>
          <w:tcPr>
            <w:tcW w:w="2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per share of common stock outstanding, basic and</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140" w:type="dxa"/>
            <w:vAlign w:val="bottom"/>
          </w:tcPr>
          <w:p>
            <w:pPr>
              <w:ind w:left="20"/>
              <w:spacing w:after="0" w:line="182" w:lineRule="exact"/>
              <w:rPr>
                <w:sz w:val="20"/>
                <w:szCs w:val="20"/>
                <w:color w:val="auto"/>
              </w:rPr>
            </w:pPr>
            <w:r>
              <w:rPr>
                <w:rFonts w:ascii="Arial" w:cs="Arial" w:eastAsia="Arial" w:hAnsi="Arial"/>
                <w:sz w:val="18"/>
                <w:szCs w:val="18"/>
                <w:color w:val="auto"/>
              </w:rPr>
              <w:t>Weighted-average common shares outstanding, basic and</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25,479</w:t>
            </w: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18,835</w:t>
            </w: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18,380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40" w:type="dxa"/>
            <w:vAlign w:val="bottom"/>
          </w:tcPr>
          <w:p>
            <w:pPr>
              <w:ind w:left="20"/>
              <w:spacing w:after="0" w:line="190"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Changes in Stockholders’ Equity</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70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8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3"/>
                <w:szCs w:val="13"/>
                <w:color w:val="auto"/>
              </w:rPr>
            </w:pPr>
          </w:p>
        </w:tc>
        <w:tc>
          <w:tcPr>
            <w:tcW w:w="10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3"/>
                <w:szCs w:val="13"/>
                <w:color w:val="auto"/>
              </w:rPr>
            </w:pPr>
          </w:p>
        </w:tc>
        <w:tc>
          <w:tcPr>
            <w:tcW w:w="860" w:type="dxa"/>
            <w:vAlign w:val="bottom"/>
          </w:tcPr>
          <w:p>
            <w:pPr>
              <w:jc w:val="center"/>
              <w:ind w:right="212"/>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2018</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17,744</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291,908</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(221,043)</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71,042</w:t>
            </w:r>
          </w:p>
        </w:tc>
        <w:tc>
          <w:tcPr>
            <w:tcW w:w="0" w:type="dxa"/>
            <w:vAlign w:val="bottom"/>
          </w:tcPr>
          <w:p>
            <w:pPr>
              <w:spacing w:after="0"/>
              <w:rPr>
                <w:sz w:val="1"/>
                <w:szCs w:val="1"/>
                <w:color w:val="auto"/>
              </w:rPr>
            </w:pPr>
          </w:p>
        </w:tc>
      </w:tr>
      <w:tr>
        <w:trPr>
          <w:trHeight w:val="202"/>
        </w:trPr>
        <w:tc>
          <w:tcPr>
            <w:tcW w:w="3620" w:type="dxa"/>
            <w:vAlign w:val="bottom"/>
          </w:tcPr>
          <w:p>
            <w:pPr>
              <w:ind w:left="120"/>
              <w:spacing w:after="0" w:line="201" w:lineRule="exact"/>
              <w:rPr>
                <w:sz w:val="20"/>
                <w:szCs w:val="20"/>
                <w:color w:val="auto"/>
              </w:rPr>
            </w:pPr>
            <w:r>
              <w:rPr>
                <w:rFonts w:ascii="Arial" w:cs="Arial" w:eastAsia="Arial" w:hAnsi="Arial"/>
                <w:sz w:val="18"/>
                <w:szCs w:val="18"/>
                <w:color w:val="auto"/>
              </w:rPr>
              <w:t>Share-based awards and options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line="203" w:lineRule="exact"/>
              <w:rPr>
                <w:sz w:val="20"/>
                <w:szCs w:val="20"/>
                <w:color w:val="auto"/>
              </w:rPr>
            </w:pPr>
            <w:r>
              <w:rPr>
                <w:rFonts w:ascii="Arial" w:cs="Arial" w:eastAsia="Arial" w:hAnsi="Arial"/>
                <w:sz w:val="18"/>
                <w:szCs w:val="18"/>
                <w:color w:val="auto"/>
              </w:rPr>
              <w:t>exercises</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901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2,411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(29,044)</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(29,044)</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18,645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297,753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(250,087)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47,852</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Share-based awards and options</w:t>
            </w: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line="203" w:lineRule="exact"/>
              <w:rPr>
                <w:sz w:val="20"/>
                <w:szCs w:val="20"/>
                <w:color w:val="auto"/>
              </w:rPr>
            </w:pPr>
            <w:r>
              <w:rPr>
                <w:rFonts w:ascii="Arial" w:cs="Arial" w:eastAsia="Arial" w:hAnsi="Arial"/>
                <w:sz w:val="18"/>
                <w:szCs w:val="18"/>
                <w:color w:val="auto"/>
              </w:rPr>
              <w:t>exercises</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469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685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(27,453)</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(27,453)</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302,842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(277,540)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25,493</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Share-based awards and options</w:t>
            </w: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line="203" w:lineRule="exact"/>
              <w:rPr>
                <w:sz w:val="20"/>
                <w:szCs w:val="20"/>
                <w:color w:val="auto"/>
              </w:rPr>
            </w:pPr>
            <w:r>
              <w:rPr>
                <w:rFonts w:ascii="Arial" w:cs="Arial" w:eastAsia="Arial" w:hAnsi="Arial"/>
                <w:sz w:val="18"/>
                <w:szCs w:val="18"/>
                <w:color w:val="auto"/>
              </w:rPr>
              <w:t>exercises</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1,715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2,418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net of</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issuance costs of $401</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5,566</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80,515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80,571</w:t>
            </w: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7,869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(31,193)</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26,395</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393,644</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(308,733)</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85,175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359"/>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(31,193)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(27,453)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(29,044)</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w:t>
            </w:r>
          </w:p>
        </w:tc>
        <w:tc>
          <w:tcPr>
            <w:tcW w:w="0" w:type="dxa"/>
            <w:vAlign w:val="bottom"/>
          </w:tcPr>
          <w:p>
            <w:pPr>
              <w:spacing w:after="0"/>
              <w:rPr>
                <w:sz w:val="1"/>
                <w:szCs w:val="1"/>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rental units purchased by customers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certain assets and liabilities: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(3,054)</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(597)</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(3,444)</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(945)</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189"/>
        </w:trPr>
        <w:tc>
          <w:tcPr>
            <w:tcW w:w="5980" w:type="dxa"/>
            <w:vAlign w:val="bottom"/>
          </w:tcPr>
          <w:p>
            <w:pPr>
              <w:ind w:left="340"/>
              <w:spacing w:after="0"/>
              <w:rPr>
                <w:sz w:val="20"/>
                <w:szCs w:val="20"/>
                <w:color w:val="auto"/>
              </w:rPr>
            </w:pPr>
            <w:r>
              <w:rPr>
                <w:rFonts w:ascii="Arial" w:cs="Arial" w:eastAsia="Arial" w:hAnsi="Arial"/>
                <w:sz w:val="16"/>
                <w:szCs w:val="16"/>
                <w:color w:val="auto"/>
              </w:rPr>
              <w:t>Net investments in sales-type leases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(1,609)</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(2,610)</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Leasehold reimbursement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ind w:left="340"/>
              <w:spacing w:after="0"/>
              <w:rPr>
                <w:sz w:val="20"/>
                <w:szCs w:val="20"/>
                <w:color w:val="auto"/>
              </w:rPr>
            </w:pPr>
            <w:r>
              <w:rPr>
                <w:rFonts w:ascii="Arial" w:cs="Arial" w:eastAsia="Arial" w:hAnsi="Arial"/>
                <w:sz w:val="16"/>
                <w:szCs w:val="16"/>
                <w:color w:val="auto"/>
              </w:rPr>
              <w:t>Prepaid commission expense</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(1,926)</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(1,928)</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(4,468)</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(641)</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189"/>
        </w:trPr>
        <w:tc>
          <w:tcPr>
            <w:tcW w:w="59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(1,085)</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(1,733)</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2"/>
        </w:trPr>
        <w:tc>
          <w:tcPr>
            <w:tcW w:w="598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rPr>
              <w:t>Net Cash Used in Operating Activities</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(27,983)</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(28,390)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(30,482)</w:t>
            </w: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Purchases of property and equipment and capitalized software</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(2,353)</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(730)</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promissory note</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(7,486)</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(9,839)</w:t>
            </w:r>
          </w:p>
        </w:tc>
        <w:tc>
          <w:tcPr>
            <w:tcW w:w="160" w:type="dxa"/>
            <w:vAlign w:val="bottom"/>
          </w:tcPr>
          <w:p>
            <w:pPr>
              <w:spacing w:after="0"/>
              <w:rPr>
                <w:sz w:val="15"/>
                <w:szCs w:val="15"/>
                <w:color w:val="auto"/>
              </w:rPr>
            </w:pPr>
          </w:p>
        </w:tc>
        <w:tc>
          <w:tcPr>
            <w:tcW w:w="86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(730)</w:t>
            </w:r>
          </w:p>
        </w:tc>
        <w:tc>
          <w:tcPr>
            <w:tcW w:w="1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Repayment of long-term debt</w:t>
            </w: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(38,860)</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(821)</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Proceeds from exercises of stock options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common stock offering issuance costs</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(401)</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80,972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tcBorders>
            <w:shd w:val="clear" w:color="auto" w:fill="CCEEFF"/>
          </w:tcPr>
          <w:p>
            <w:pPr>
              <w:ind w:left="44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83,006</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2,369</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183"/>
        </w:trPr>
        <w:tc>
          <w:tcPr>
            <w:tcW w:w="5980" w:type="dxa"/>
            <w:vAlign w:val="bottom"/>
          </w:tcPr>
          <w:p>
            <w:pPr>
              <w:ind w:left="440"/>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45,184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(26,751)</w:t>
            </w:r>
          </w:p>
        </w:tc>
        <w:tc>
          <w:tcPr>
            <w:tcW w:w="1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(28,875)</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48,957</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75,708</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104,583</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440"/>
              <w:spacing w:after="0" w:line="183" w:lineRule="exact"/>
              <w:rPr>
                <w:sz w:val="20"/>
                <w:szCs w:val="20"/>
                <w:color w:val="auto"/>
              </w:rPr>
            </w:pPr>
            <w:r>
              <w:rPr>
                <w:rFonts w:ascii="Arial" w:cs="Arial" w:eastAsia="Arial" w:hAnsi="Arial"/>
                <w:sz w:val="16"/>
                <w:szCs w:val="16"/>
                <w:color w:val="auto"/>
              </w:rPr>
              <w:t>Cash and Cash Equivalents, End of Period</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94,141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48,957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75,708</w:t>
            </w:r>
          </w:p>
        </w:tc>
        <w:tc>
          <w:tcPr>
            <w:tcW w:w="0" w:type="dxa"/>
            <w:vAlign w:val="bottom"/>
          </w:tcPr>
          <w:p>
            <w:pPr>
              <w:spacing w:after="0"/>
              <w:rPr>
                <w:sz w:val="1"/>
                <w:szCs w:val="1"/>
                <w:color w:val="auto"/>
              </w:rPr>
            </w:pPr>
          </w:p>
        </w:tc>
      </w:tr>
      <w:tr>
        <w:trPr>
          <w:trHeight w:val="170"/>
        </w:trPr>
        <w:tc>
          <w:tcPr>
            <w:tcW w:w="598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Supplemental disclosure of cash flow information:</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3,304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3,892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2,949</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 of Inventory to PP&amp;E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598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 and capitalized software in accounts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196"/>
        </w:trPr>
        <w:tc>
          <w:tcPr>
            <w:tcW w:w="5980" w:type="dxa"/>
            <w:vAlign w:val="bottom"/>
          </w:tcPr>
          <w:p>
            <w:pPr>
              <w:ind w:left="120"/>
              <w:spacing w:after="0"/>
              <w:rPr>
                <w:sz w:val="20"/>
                <w:szCs w:val="20"/>
                <w:color w:val="auto"/>
              </w:rPr>
            </w:pPr>
            <w:r>
              <w:rPr>
                <w:rFonts w:ascii="Arial" w:cs="Arial" w:eastAsia="Arial" w:hAnsi="Arial"/>
                <w:sz w:val="16"/>
                <w:szCs w:val="16"/>
                <w:color w:val="auto"/>
              </w:rPr>
              <w:t>Reduction of accounts receivable in long-term note receivable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Neuronetics, Inc., or the Company, is a commercial stage medical technology company focused on designing, developing and marketing products that improve the quality of life for patients who suffer from neurohealth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The Company intends to continue to pursue development of its NeuroStar Advanced Therapy System for additional indications.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23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Company is monitoring the impact of the COVID-19 pandemic on all aspects of its business and geographies, including how it will impact the Company’s customers, supply chain, employees and other business partners. While the Company experienced significant disruptions in March 2020 through the end of December 2021, from the COVID-19 pandemic, it is unable to predict the full impact that the COVID-19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w:t>
      </w:r>
    </w:p>
    <w:p>
      <w:pPr>
        <w:spacing w:after="0" w:line="20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applied for and received a $6.4 million loan in April 2020 under the Paycheck Protection Program (the “PPP”) established by the Coronavirus Aid, Relief, and Economic Security Act (“CARES Act”) on March 27, 2020. Due to questions concerning the eligibility of public companies similarly situated to the Company, on May 7, 2020, the Company repaid the loan in full, including interest accrued to date.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of December 31, 2021, the Company had cash and cash equivalents of $94.1 million and an accumulated deficit of $308.7 million. The Company incurred negative cash flows from operating activities of $28.0 million, $28.4 million and $30.5 million for the years ended December 31, 2021, 2020 and 2019, respectively. The Company has incurred operating losses since its inception, and management anticipates that its operating losses will continue in the near term as the Company seeks to expand its sales and marketing initiatives to support its growth into existing and new markets and invest in additional research and development activities. The Company’s primary sources of capital to date have been from its initial public offering, private placements of its convertible preferred securities, borrowings under its credit facility, proceeds from its secondary public offering of common stock, and revenues from sales of its products. As of December 31, 2021, the Company had $35.0 million of borrowings outstanding under its credit facility, which matures in February 2025. Management believes that the Company’s cash and cash equivalents as of December 31, 2021 and anticipated revenues from sales of our products are sufficient to fund the Company’s operations for at least the next 12 months from the issuance of these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preparation of financial statements in accordance with GAAP and the rules and regulations of the United States Securities and Exchange Commission, or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w:t>
      </w:r>
    </w:p>
    <w:p>
      <w:pPr>
        <w:spacing w:after="0" w:line="167" w:lineRule="exact"/>
        <w:rPr>
          <w:sz w:val="20"/>
          <w:szCs w:val="20"/>
          <w:color w:val="auto"/>
        </w:rPr>
      </w:pPr>
    </w:p>
    <w:p>
      <w:pPr>
        <w:ind w:left="60" w:right="4079" w:hanging="10"/>
        <w:spacing w:after="0" w:line="498" w:lineRule="auto"/>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ind w:left="60" w:right="79"/>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As of December 31, 2021 and 2020, cash equivalents consisted of money market funds.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Concentrations of Credit Risk</w:t>
      </w:r>
    </w:p>
    <w:p>
      <w:pPr>
        <w:spacing w:after="0" w:line="234" w:lineRule="exact"/>
        <w:rPr>
          <w:sz w:val="20"/>
          <w:szCs w:val="20"/>
          <w:color w:val="auto"/>
        </w:rPr>
      </w:pPr>
    </w:p>
    <w:p>
      <w:pPr>
        <w:jc w:val="both"/>
        <w:ind w:left="60" w:right="119"/>
        <w:spacing w:after="0"/>
        <w:rPr>
          <w:sz w:val="20"/>
          <w:szCs w:val="20"/>
          <w:color w:val="auto"/>
        </w:rPr>
      </w:pPr>
      <w:r>
        <w:rPr>
          <w:rFonts w:ascii="Arial" w:cs="Arial" w:eastAsia="Arial" w:hAnsi="Arial"/>
          <w:sz w:val="18"/>
          <w:szCs w:val="18"/>
          <w:color w:val="auto"/>
        </w:rPr>
        <w:t>The Company’s cash is held on deposit in demand accounts at a large financial institution in amounts in excess of the Federal Deposit Insurance Corporation, or FDIC, insurance coverage limit of $250,000 per depositor, per FDIC-insured bank, per ownership category.</w:t>
      </w:r>
    </w:p>
    <w:p>
      <w:pPr>
        <w:spacing w:after="0" w:line="20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Allowance for Doubtful Accounts</w:t>
      </w:r>
    </w:p>
    <w:p>
      <w:pPr>
        <w:spacing w:after="0" w:line="234" w:lineRule="exact"/>
        <w:rPr>
          <w:sz w:val="20"/>
          <w:szCs w:val="20"/>
          <w:color w:val="auto"/>
        </w:rPr>
      </w:pPr>
    </w:p>
    <w:p>
      <w:pPr>
        <w:jc w:val="both"/>
        <w:ind w:left="60" w:right="99"/>
        <w:spacing w:after="0"/>
        <w:rPr>
          <w:sz w:val="20"/>
          <w:szCs w:val="20"/>
          <w:color w:val="auto"/>
        </w:rPr>
      </w:pPr>
      <w:r>
        <w:rPr>
          <w:rFonts w:ascii="Arial" w:cs="Arial" w:eastAsia="Arial" w:hAnsi="Arial"/>
          <w:sz w:val="18"/>
          <w:szCs w:val="18"/>
          <w:color w:val="auto"/>
        </w:rPr>
        <w:t>The Company maintains allowances for doubtful accounts for estimated losses resulting from amounts deemed to be uncollectible from its customers. These allowances are for specific amounts on certain customer accounts based on facts and circumstances determined on a case-by-case basis.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34"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As of January 1, 2019, the Company accounts for leases in accordance with ASC Topic 842, Leases, (“Topic 842”). 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0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 leases warehouse, office space, a training facility and office equipment pursuant to net operating leases. Operating leases where the Company is the lessor are included in revenue on the Statements of Operations.</w:t>
      </w:r>
    </w:p>
    <w:p>
      <w:pPr>
        <w:spacing w:after="0" w:line="20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From time to time the Company enters into sales-type lease arrangements that include a lessee obligation to purchase the leased equipment at the end of the lease term, automatic transfer of ownership of the leased equipment at the end of the lease, a lessee purchase option reasonably certain to be exercised, or provides for minimum lease payments with a present value equal to or exceeding substantially all of the fair value of the underlying leased equipment at the date of lease inception. Sales-type leases where the Company is the lessor are included in revenue on the Statements of Operations.</w:t>
      </w:r>
    </w:p>
    <w:p>
      <w:pPr>
        <w:spacing w:after="0" w:line="20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Operating leases where the Company is the lessee are included in operating lease right-of-use assets and operating lease liabilities on the Balance Sheets. The lease liabilities are initially measured at the present value of the unpaid lease payments at the lease commencement date.</w:t>
      </w:r>
    </w:p>
    <w:p>
      <w:pPr>
        <w:spacing w:after="0" w:line="203" w:lineRule="exact"/>
        <w:rPr>
          <w:sz w:val="20"/>
          <w:szCs w:val="20"/>
          <w:color w:val="auto"/>
        </w:rPr>
      </w:pPr>
    </w:p>
    <w:p>
      <w:pPr>
        <w:ind w:left="60" w:right="79"/>
        <w:spacing w:after="0" w:line="274" w:lineRule="auto"/>
        <w:rPr>
          <w:sz w:val="20"/>
          <w:szCs w:val="20"/>
          <w:color w:val="auto"/>
        </w:rPr>
      </w:pPr>
      <w:r>
        <w:rPr>
          <w:rFonts w:ascii="Arial" w:cs="Arial" w:eastAsia="Arial" w:hAnsi="Arial"/>
          <w:sz w:val="17"/>
          <w:szCs w:val="17"/>
          <w:color w:val="auto"/>
        </w:rPr>
        <w:t>The Company uses the following inputs in its lease calculations under Topic 842: (1) the discount rate the Company uses to discount the unpaid lease payments to present value, (2) lease term, and (3) lease payments.</w:t>
      </w:r>
    </w:p>
    <w:p>
      <w:pPr>
        <w:spacing w:after="0" w:line="175" w:lineRule="exact"/>
        <w:rPr>
          <w:sz w:val="20"/>
          <w:szCs w:val="20"/>
          <w:color w:val="auto"/>
        </w:rPr>
      </w:pPr>
    </w:p>
    <w:p>
      <w:pPr>
        <w:ind w:left="720" w:right="139" w:hanging="319"/>
        <w:spacing w:after="0" w:line="23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Topic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most leases where the Company is the lessee do not provide an implicit rate, the Company uses the incremental borrowing rate based on the information available at commencement date in determining the present value of lease payments. The incremental borrowing rate for a lease is the rate of interest the Company would have to pay on a collateralized basis to borrow an amount equal to the lease payments under similar terms. The Company uses the implicit rate when readily determinable.</w:t>
      </w:r>
    </w:p>
    <w:p>
      <w:pPr>
        <w:spacing w:after="0" w:line="207" w:lineRule="exact"/>
        <w:rPr>
          <w:rFonts w:ascii="Arial" w:cs="Arial" w:eastAsia="Arial" w:hAnsi="Arial"/>
          <w:sz w:val="18"/>
          <w:szCs w:val="18"/>
          <w:color w:val="auto"/>
        </w:rPr>
      </w:pPr>
    </w:p>
    <w:p>
      <w:pPr>
        <w:jc w:val="both"/>
        <w:ind w:left="720" w:right="99"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lease term for all leases includes the noncancelable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202" w:lineRule="exact"/>
        <w:rPr>
          <w:rFonts w:ascii="Arial" w:cs="Arial" w:eastAsia="Arial" w:hAnsi="Arial"/>
          <w:sz w:val="18"/>
          <w:szCs w:val="18"/>
          <w:color w:val="auto"/>
        </w:rPr>
      </w:pPr>
    </w:p>
    <w:p>
      <w:pPr>
        <w:ind w:left="720" w:right="359"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Lease payments included in the measurement of the lease asset or liability comprise the following: fixed payments (including in-substance fixed payments), and the exercise price of a lessee option to purchase the underlying asset if the lessee is reasonably certain to exercise.</w:t>
      </w:r>
    </w:p>
    <w:p>
      <w:pPr>
        <w:spacing w:after="0" w:line="20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For operating leases where the Company is the lessor, the Company continues recognizing the underlying asset and depreciating it over its estimated useful life. Lease income from lessees is recognized on a straight-line basis over the terms of the relevant lease agreement in revenue. Operating leases for equipment with fixed rentals and step rentals are recognized on a straight-line basis over the term of the lease, assuming no renewals, in revenue. Revenue is not recognized when collection is not reasonably assured. When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collectability is not reasonably assured, the customer is placed on non-accrual status and revenue is recognized when cash payments are received.</w:t>
      </w:r>
    </w:p>
    <w:p>
      <w:pPr>
        <w:spacing w:after="0" w:line="197"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The lease asset for sales-type leases is initially measured as the total net investment in the lease, which comprises the initial amount of the lease receivable plus the deferred initial direct costs.</w:t>
      </w:r>
    </w:p>
    <w:p>
      <w:pPr>
        <w:spacing w:after="0" w:line="197" w:lineRule="exact"/>
        <w:rPr>
          <w:sz w:val="20"/>
          <w:szCs w:val="20"/>
          <w:color w:val="auto"/>
        </w:rPr>
      </w:pPr>
    </w:p>
    <w:p>
      <w:pPr>
        <w:ind w:left="60" w:right="439"/>
        <w:spacing w:after="0" w:line="255" w:lineRule="auto"/>
        <w:rPr>
          <w:sz w:val="20"/>
          <w:szCs w:val="20"/>
          <w:color w:val="auto"/>
        </w:rPr>
      </w:pPr>
      <w:r>
        <w:rPr>
          <w:rFonts w:ascii="Arial" w:cs="Arial" w:eastAsia="Arial" w:hAnsi="Arial"/>
          <w:sz w:val="17"/>
          <w:szCs w:val="17"/>
          <w:color w:val="auto"/>
        </w:rPr>
        <w:t>The lease asset for sales-type leases is subsequently measured throughout the lease term at the carrying amount of the net investment in the lease which is increased by interest income and reduced by lease payments collected. The lease payments are segregated into principal and interest components similar to a loan. Equipment leasing revenues are recognized on an effective interest method over the lease term. The principal component of the lease payment is reflected as a reduction to the net investment in the lease.</w:t>
      </w:r>
    </w:p>
    <w:p>
      <w:pPr>
        <w:spacing w:after="0" w:line="19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For operating leases where the Company is the lessee, the right-of-use, or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20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Lease assets for sales-type leases where the Company is the lessor and ROU assets for operating leases where the Company is the lessee are periodically reduced by impairment losses. The Company uses the loans impairment guidance in ASC Subtopic 330-10, Receivables, and the long-lived assets impairment guidance in ASC Subtopic 360-10, Property, Plant, and Equipment – Overall, to determine whether a lease asset or a ROU asset, respectively, is impaired, and if so, the amount of the impairment loss to recognize. For the year ended December 31, 2021, the Company recognized $0.1 million in impairment losses and included within “Sales and marketing expense” on the statements of operations. The Company did not recognize any impairment losses for the year ended December 31, 2020.</w:t>
      </w:r>
    </w:p>
    <w:p>
      <w:pPr>
        <w:spacing w:after="0" w:line="20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monitors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has elected not to recognize ROU assets and lease liabilities for all short-term leases that have a lease term of 12 months or less. The Company recognizes the lease payments associated with the short-term leases as an expense on a straight-line basis over the lease term. Variable lease payments associated with these leases are recognized and presented in the same manner as for all other leases. The Company has elected to exclude sales and other similar taxes from lease payments in arrangements where the Company is a lessor.</w:t>
      </w:r>
    </w:p>
    <w:p>
      <w:pPr>
        <w:spacing w:after="0" w:line="20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Company adopted ASU 2016-02 using a modified retrospective transition approach as of the effective date as permitted by the amendments in ASU 2018-11, which provides an alternative modified retrospective transition method. As a result, the Company was not required to adjust comparative period financial information for effects of the standard or make the new required lease disclosures for periods before the date of adoption (i.e. January 1, 2019). The Company has elected to adopt the package of transition practical expedients and, therefore, has not reassessed (1) whether existing or expired contracts contain a lease, (2) lease classification for existing or expired leases or (3) the accounting for initial direct costs that were previously capitalized. The Company did not elect the practical expedient to use hindsight for leases existing at the adoption date. There was no effect of the adoption of Topic 842 on retained earnings and other components of equity as of December 31, 2018.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34"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Inventory is stated at the lower of cost and net realizable value, with cost being determined on a first in, first out basis. The Company’s inventory is primarily comprised of finished goods.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 and Capitalized Software</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Property and equipment are recorded at cost. Maintenance and repairs are charged to expense as incurred and costs of improvements and renewals are capitalized. Depreciation and amortization are recognized using the straight-line method based on the estimated useful lives of the related assets. The Company uses an estimated useful life of three years for computers and software, five years for laboratory and office equipment, six years for devices in the rental agreement program and the lesser of five years or the remaining life of the underlying facility lease for leasehold improvements.</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Software development costs relating to assets to be sold in the normal course of business are included in research and development and are expensed as incurred until technological feasibility is established. After technological feasibility is established, material software development costs are capitalized. The Company uses an estimated useful life of two years for capitalized software and amortizes these costs beginning at the product release.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Long-lived assets, such as property and equipment, are tested for impairment when events or changes in circumstances indicate that the carrying value of the asset may not be recoverable. Impairment testing requires management to estimate the future net undiscounted cash flows of an asset using assumptions believed to be reasonable. Actual cash flows may differ from the estimates used in the impairment testing. If such assets are considered to be impaired, the Company recognizes an impairment loss when and to the extent that the estimated fair value of an asset is less than its carrying value. The Company has not recorded any impairment of its long-lived assets for the years ended December 31, 2021, 2020 and 2019.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Receivables</w:t>
      </w:r>
    </w:p>
    <w:p>
      <w:pPr>
        <w:spacing w:after="0" w:line="234" w:lineRule="exact"/>
        <w:rPr>
          <w:sz w:val="20"/>
          <w:szCs w:val="20"/>
          <w:color w:val="auto"/>
        </w:rPr>
      </w:pPr>
    </w:p>
    <w:p>
      <w:pPr>
        <w:ind w:left="60" w:right="819"/>
        <w:spacing w:after="0" w:line="246" w:lineRule="auto"/>
        <w:rPr>
          <w:sz w:val="20"/>
          <w:szCs w:val="20"/>
          <w:color w:val="auto"/>
        </w:rPr>
      </w:pPr>
      <w:r>
        <w:rPr>
          <w:rFonts w:ascii="Arial" w:cs="Arial" w:eastAsia="Arial" w:hAnsi="Arial"/>
          <w:sz w:val="18"/>
          <w:szCs w:val="18"/>
          <w:color w:val="auto"/>
        </w:rPr>
        <w:t>Note receivables are reported on the Company’s balance sheet at amortized cost basis. The Company recognizes interest income within other income, net within the statements of operations.</w:t>
      </w:r>
    </w:p>
    <w:p>
      <w:pPr>
        <w:spacing w:after="0" w:line="197"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Note receivables are periodically reviewed to determine whether a note receivable is impaired, and if so, the amount of the impairment loss to recognize. For the year ended December 31, 2021, the Company recognized $0.1 million in impairment charges and included within “Sales and marketing expense” on the statements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Debt Issuance Costs</w:t>
      </w:r>
    </w:p>
    <w:p>
      <w:pPr>
        <w:spacing w:after="0" w:line="234"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The Company capitalizes direct costs incurred to obtain debt financing and amortizes these costs to interest expense over the term of the debt using the effective interest method. These costs are recorded as a debt discount and are netted against the related debt on the Company’s balance sheet.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January 1, 2019, the Company adopted Topic 606 using the modified retrospective method applying the open contract practical expedient and accounted for those contracts which were not completed as of January 1, 2019 under Topic 606.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Topic 606 is principles-based and provides a five-step model to determine when and how revenue is recognized. The core principle is that an entity should recognize revenue when it transfers promised goods or services to customers in an amount that reflects the consideration to which the entity expects to be entitled in exchange for those goods or services.</w:t>
      </w:r>
    </w:p>
    <w:p>
      <w:pPr>
        <w:spacing w:after="0" w:line="205"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Sales and usage-based taxes are excluded from revenues. Other than the revenue recognized under the distribution agreement disclosed below, all but an immaterial amount of the Company’s revenue is recognized at a point in time.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Formation</w:t>
      </w:r>
    </w:p>
    <w:p>
      <w:pPr>
        <w:spacing w:after="0" w:line="23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accounts for a contract with a customer when there is a legally enforceable contract between the Company and the customer, the rights of the parties are identified, the contract has commercial substance, and collectability of the contract consideration is probable. For all sales, the Company uses either a signed agreement or a binding purchase order as evidence of an arrangement.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Performance Obligations</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unit of account for Topic 606 is the performance obligation. A performance obligation is a promise in a contract to transfer a distinct good or service to the customer or a series of distinct goods or services that are substantially the same and have the same pattern of transfer. A contract’s transaction price is allocated to each performance obligation and recognized as revenue when, or as, the performance obligation is satisfied. The majority of the Company’s contracts are comprised of the following performance obligations:</w:t>
      </w:r>
    </w:p>
    <w:p>
      <w:pPr>
        <w:spacing w:after="0" w:line="202" w:lineRule="exact"/>
        <w:rPr>
          <w:sz w:val="20"/>
          <w:szCs w:val="20"/>
          <w:color w:val="auto"/>
        </w:rPr>
      </w:pPr>
    </w:p>
    <w:p>
      <w:pPr>
        <w:ind w:left="720" w:right="319" w:hanging="319"/>
        <w:spacing w:after="0" w:line="23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NeuroStar TMS Therapy System (the “System”) which includes a chair, an electromagnet coil, a monitoring console and accessories. The various components are inputs that function together to deliver a combined output and together form one performance obligation (a NeuroStar Advanced Therapy System). Revenues from the sale of the System are satisfied at the point-in-time when delivered to the customer’s premises.</w:t>
      </w:r>
    </w:p>
    <w:p>
      <w:pPr>
        <w:spacing w:after="0" w:line="202" w:lineRule="exact"/>
        <w:rPr>
          <w:rFonts w:ascii="Arial" w:cs="Arial" w:eastAsia="Arial" w:hAnsi="Arial"/>
          <w:sz w:val="18"/>
          <w:szCs w:val="18"/>
          <w:color w:val="auto"/>
        </w:rPr>
      </w:pPr>
    </w:p>
    <w:p>
      <w:pPr>
        <w:ind w:left="720" w:right="99" w:hanging="319"/>
        <w:spacing w:after="0" w:line="23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NeuroStar Treatment Session (the “Treatment Session”) is a single use consumable that is delivered via an encrypted activation code and is required in order for a clinician to perform transcranial magnetic stimulation (“TMS”) therapy. Revenues from the sale of the Treatment Sessions are satisfied at the point-in-time when delivered to the customer. The Company determined that sales of Treatment Sessions are not part of the enforceable rights and obligations of the System sales, except when sold with System sales.</w:t>
      </w:r>
    </w:p>
    <w:p>
      <w:pPr>
        <w:spacing w:after="0" w:line="204" w:lineRule="exact"/>
        <w:rPr>
          <w:rFonts w:ascii="Arial" w:cs="Arial" w:eastAsia="Arial" w:hAnsi="Arial"/>
          <w:sz w:val="18"/>
          <w:szCs w:val="18"/>
          <w:color w:val="auto"/>
        </w:rPr>
      </w:pPr>
    </w:p>
    <w:p>
      <w:pPr>
        <w:ind w:left="720" w:right="259"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Separately priced extended warranties and when-and-if-available upgrade rights are considered service-type warranties. Warranty services are considered stand-ready obligations satisfied over-time and recognized using a straight-line time-based measurement toward completion.</w:t>
      </w:r>
    </w:p>
    <w:p>
      <w:pPr>
        <w:spacing w:after="0" w:line="202" w:lineRule="exact"/>
        <w:rPr>
          <w:rFonts w:ascii="Arial" w:cs="Arial" w:eastAsia="Arial" w:hAnsi="Arial"/>
          <w:sz w:val="18"/>
          <w:szCs w:val="18"/>
          <w:color w:val="auto"/>
        </w:rPr>
      </w:pPr>
    </w:p>
    <w:p>
      <w:pPr>
        <w:ind w:left="720" w:right="159" w:hanging="319"/>
        <w:spacing w:after="0" w:line="23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System clinical and reimbursement training enable the clinician to provide patient treatment. The trainings are not required in order to operate the System but are required in order to receive a certification from the Company and accordingly are not essential to the functionality of other performance obligations. Training services are recognized at a point-in-time when training is complete, typically simultaneous to or near the time of delivery of the System.</w:t>
      </w:r>
    </w:p>
    <w:p>
      <w:pPr>
        <w:spacing w:after="0" w:line="20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In addition, the Company has determined that there are various perfunctory deliverables such as installation of the System, the technical support hotline and marketing materials which the Company does not separately recognize as revenue nor does the Company accrue the estimated cost of providing these goods and services because they are not material. The Company provides a one-year warranty on all new System sales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auto"/>
        </w:rPr>
        <w:t>which were determined to be assurance-type warranties and thus not considered a separate performance obligation. The Company accrues the cost of providing these warranties.</w:t>
      </w:r>
    </w:p>
    <w:p>
      <w:pPr>
        <w:spacing w:after="0" w:line="197"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There is no right of return or refund for any of the Company’s products or services and the Company has elected to treat shipping and handling as a fulfillment activity and expenses the costs as incurred.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Rent-to-Own</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The System is typically purchased but the Company does offer certain customers the option to lease instead. The Company accounts for these leases under Topic 842, </w:t>
      </w:r>
      <w:r>
        <w:rPr>
          <w:rFonts w:ascii="Arial" w:cs="Arial" w:eastAsia="Arial" w:hAnsi="Arial"/>
          <w:sz w:val="18"/>
          <w:szCs w:val="18"/>
          <w:i w:val="1"/>
          <w:iCs w:val="1"/>
          <w:color w:val="auto"/>
        </w:rPr>
        <w:t>Leases</w:t>
      </w:r>
      <w:r>
        <w:rPr>
          <w:rFonts w:ascii="Arial" w:cs="Arial" w:eastAsia="Arial" w:hAnsi="Arial"/>
          <w:sz w:val="18"/>
          <w:szCs w:val="18"/>
          <w:color w:val="auto"/>
        </w:rPr>
        <w:t>. Under Topic 842 the leases are typically accounted for as a sales-type lease which results in the derecognition of the underlying asset, the recognition of profit or loss on the sale, and the recognition of an investment in sales-type lease. The investment is periodically increased for interest earned and reduced as lease payments are received.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Distribution Agreement</w:t>
      </w:r>
    </w:p>
    <w:p>
      <w:pPr>
        <w:spacing w:after="0" w:line="23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Company has an exclusive distribution agreement that began in October 2017 with a foreign entity for a period of 7 ½ years with two 2 year renewal options. As consideration for the right to be the sole distributor of the Company’s products and use of the Company’s intellectual property in the foreign territory, the distributor is required to make certain fixed milestone payments upon contract execution and regulatory approval. In addition, the distributor is required to make variable milestone payments depending upon regulatory reimbursement rates. Furthermore, the distributor is required to make certain minimum purchases based upon sales history and forecasts subject to a ceiling and floor. The Company assessed the potential performance obligations in this contract and concluded that the contract contained the following performance obligations:</w:t>
      </w:r>
    </w:p>
    <w:p>
      <w:pPr>
        <w:spacing w:after="0" w:line="208"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Exclusive distribution and intellectual property license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NeuroStar TMS Therapy System (the “System”)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NeuroStar Treatment Session (the “Treatment Session”)</w:t>
      </w:r>
    </w:p>
    <w:p>
      <w:pPr>
        <w:spacing w:after="0" w:line="22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distribution agreement contains pricing for the Company’s products and services. The contractual purchase prices were determined to be at the standalone selling prices based on the expected sales volumes of this customer type and thus the Company concluded that this agreement did not contain a separate performance obligation for the material right to discounted Systems and Treatments Sessions. The Company allocated the transaction price through a combination of the cost plus a margin approach and the residual method. For the System and Treatment Sessions the Company maximized the use of observable inputs by beginning with average historical contractual selling prices and adjusting on a consistent and rational basis for pricing trends, the customer type and expected sales volumes and the Company’s changing cost and margins. Since it was determined that the contractual selling prices for the Company’s products and services in the distribution agreement were at the standalone selling prices, the residual consideration which is made up of the fixed and variable milestone payments was allocated to the exclusive distribution and intellectual property license. The exclusive distribution and intellectual property rights were determined to be symbolic IP and thus recognized over time. The System and Treatment Sessions were determined to be performance obligations recognized at a point-in-time when delivered to the distributor.</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Estimates</w:t>
      </w:r>
    </w:p>
    <w:p>
      <w:pPr>
        <w:spacing w:after="0" w:line="23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Payment terms typically require payment upon shipment of the System and additional payments as access codes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contract liabilities. Changes in the contract asset and liability balances during the years ended December 31, 2021 and 2020 were not materially impacted by any other factors.</w:t>
      </w:r>
    </w:p>
    <w:p>
      <w:pPr>
        <w:spacing w:after="0" w:line="205"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As of December 31, 2021, the Company expects to recognize approximately the following percentages of deferred revenue by year:</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Revenue</w:t>
            </w:r>
          </w:p>
        </w:tc>
      </w:tr>
      <w:tr>
        <w:trPr>
          <w:trHeight w:val="175"/>
        </w:trPr>
        <w:tc>
          <w:tcPr>
            <w:tcW w:w="77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1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Recognition</w:t>
            </w:r>
          </w:p>
        </w:tc>
      </w:tr>
      <w:tr>
        <w:trPr>
          <w:trHeight w:val="196"/>
        </w:trPr>
        <w:tc>
          <w:tcPr>
            <w:tcW w:w="75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7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2"/>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r>
      <w:tr>
        <w:trPr>
          <w:trHeight w:val="203"/>
        </w:trPr>
        <w:tc>
          <w:tcPr>
            <w:tcW w:w="7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7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196"/>
        </w:trPr>
        <w:tc>
          <w:tcPr>
            <w:tcW w:w="774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Revenue recognized for the years ended December 31, 2021 and 2020 that was included in the contract liability balance at the beginning of the year was $1.9 million and $2.0 million, respectively, and primarily represented revenue earned from separately priced extended warranties, rent-to-own revenue, milestone revenue, and clinical training.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Customers</w:t>
      </w:r>
    </w:p>
    <w:p>
      <w:pPr>
        <w:spacing w:after="0" w:line="230"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One customer accounted for more than 10% of our revenues for the years ended December 31, 2021 and 2020, respectively.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Expenses</w:t>
      </w:r>
    </w:p>
    <w:p>
      <w:pPr>
        <w:spacing w:after="0" w:line="23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Research and development activities are expensed as incurred. Costs incurred in obtaining technology licenses are charged immediately to research and development expense if the technology licensed has not reached technological feasibility and has no alternative future uses.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recognizes the grant-date fair value of share-based awards issued as compensation as expense on a straight-line basis over the requisite service period, which is generally the vesting period of the award. The fair value of restricted stock awards and restricted stock units is estimated at the time of grant, based on the grant date fair value of the Company’s common stock. The fair value of performance restricted stock units is estimated at the time of grant and is determined using a risk neutral Monte Carlo simulation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valuation model, which requires the use of inputs and assumptions such as the fair value of the underlying common stock, risk free interest rate, and expected volatility. The performance restricted stock units generally vest based on appreciation of the Company’s common stock to a certain price as determined by the Company’s board of directors measured using a trailing 30-day volume weighted average price of a share of the Company’s common stock. The fair value of stock options is estimated at the time of grant using the Black-Scholes option pricing model, which requires the use of inputs and assumptions such as the fair value of the underlying common stock, exercise price of the option, expected term, risk-free interest rate, expected volatility and dividend yield.</w:t>
      </w:r>
    </w:p>
    <w:p>
      <w:pPr>
        <w:spacing w:after="0" w:line="208"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The fair value of each grant of stock options awarded during the years ended December 31, 2021, 2020 and 2019 was determined using the following methods and assumptions:</w:t>
      </w:r>
    </w:p>
    <w:p>
      <w:pPr>
        <w:spacing w:after="0" w:line="175" w:lineRule="exact"/>
        <w:rPr>
          <w:sz w:val="20"/>
          <w:szCs w:val="20"/>
          <w:color w:val="auto"/>
        </w:rPr>
      </w:pPr>
    </w:p>
    <w:p>
      <w:pPr>
        <w:jc w:val="both"/>
        <w:ind w:left="720" w:right="319" w:hanging="319"/>
        <w:spacing w:after="0" w:line="253"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The Company’s board of directors has determined the per share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the Company’s common stock based on the closing price as reported by the Nasdaq Global Market on the date of grant.</w:t>
      </w:r>
    </w:p>
    <w:p>
      <w:pPr>
        <w:spacing w:after="0" w:line="168" w:lineRule="exact"/>
        <w:rPr>
          <w:rFonts w:ascii="Arial" w:cs="Arial" w:eastAsia="Arial" w:hAnsi="Arial"/>
          <w:sz w:val="18"/>
          <w:szCs w:val="18"/>
          <w:color w:val="auto"/>
        </w:rPr>
      </w:pPr>
    </w:p>
    <w:p>
      <w:pPr>
        <w:ind w:left="720" w:right="139" w:hanging="319"/>
        <w:spacing w:after="0" w:line="242"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Due to the historical lack of a public market for the trading of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and the lack of sufficient company-specific historical data, the expected term of employee stock options is determined using the “simplified” method, as prescribed in SEC Staff Accounting Bulletin (SAB) No. 107 (SAB 107), whereby the expected life equals the arithmetic average of the vesting term and the original contractual term of the option. The expected term of nonemployee stock options is equal to the contractual term.</w:t>
      </w:r>
    </w:p>
    <w:p>
      <w:pPr>
        <w:spacing w:after="0" w:line="178" w:lineRule="exact"/>
        <w:rPr>
          <w:rFonts w:ascii="Arial" w:cs="Arial" w:eastAsia="Arial" w:hAnsi="Arial"/>
          <w:sz w:val="18"/>
          <w:szCs w:val="18"/>
          <w:color w:val="auto"/>
        </w:rPr>
      </w:pPr>
    </w:p>
    <w:p>
      <w:pPr>
        <w:ind w:left="720" w:right="499" w:hanging="319"/>
        <w:spacing w:after="0" w:line="253"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interest rate payable on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Treasury securities in effect at the time of grant for a period that is commensurate with the assumed expected term.</w:t>
      </w:r>
    </w:p>
    <w:p>
      <w:pPr>
        <w:spacing w:after="0" w:line="168" w:lineRule="exact"/>
        <w:rPr>
          <w:rFonts w:ascii="Arial" w:cs="Arial" w:eastAsia="Arial" w:hAnsi="Arial"/>
          <w:sz w:val="18"/>
          <w:szCs w:val="18"/>
          <w:color w:val="auto"/>
        </w:rPr>
      </w:pPr>
    </w:p>
    <w:p>
      <w:pPr>
        <w:ind w:left="720" w:right="79" w:hanging="319"/>
        <w:spacing w:after="0" w:line="253"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expected volatility is based on historical volatilities of peer companies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industry which were commensurate with the expected term assumption, as described in SAB 107.</w:t>
      </w:r>
    </w:p>
    <w:p>
      <w:pPr>
        <w:spacing w:after="0" w:line="168" w:lineRule="exact"/>
        <w:rPr>
          <w:rFonts w:ascii="Arial" w:cs="Arial" w:eastAsia="Arial" w:hAnsi="Arial"/>
          <w:sz w:val="18"/>
          <w:szCs w:val="18"/>
          <w:color w:val="auto"/>
        </w:rPr>
      </w:pPr>
    </w:p>
    <w:p>
      <w:pPr>
        <w:ind w:left="720" w:right="979" w:hanging="319"/>
        <w:spacing w:after="0" w:line="271"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0% because the Company has never paid, and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does not expect to pay, a dividend on its common stock.</w:t>
      </w:r>
    </w:p>
    <w:p>
      <w:pPr>
        <w:spacing w:after="0" w:line="176" w:lineRule="exact"/>
        <w:rPr>
          <w:sz w:val="20"/>
          <w:szCs w:val="20"/>
          <w:color w:val="auto"/>
        </w:rPr>
      </w:pPr>
    </w:p>
    <w:p>
      <w:pPr>
        <w:ind w:left="60" w:right="839"/>
        <w:spacing w:after="0" w:line="257" w:lineRule="auto"/>
        <w:rPr>
          <w:sz w:val="20"/>
          <w:szCs w:val="20"/>
          <w:color w:val="auto"/>
        </w:rPr>
      </w:pPr>
      <w:r>
        <w:rPr>
          <w:rFonts w:ascii="Arial" w:cs="Arial" w:eastAsia="Arial" w:hAnsi="Arial"/>
          <w:sz w:val="17"/>
          <w:szCs w:val="17"/>
          <w:color w:val="auto"/>
        </w:rPr>
        <w:t>The inputs and assumptions used to estimate the fair value of share-based payment awards represent management’s best estimates and involve inherent uncertainties and the application of management’s judgment. As a result, if factors change and management uses different inputs and assumptions, the Company’s share-based compensation expense could be materially different for future awards.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A valuation allowance is recorded to the extent it is more likely than not that some portion or all of the deferred tax assets will not be realized.</w:t>
      </w:r>
    </w:p>
    <w:p>
      <w:pPr>
        <w:spacing w:after="0" w:line="208" w:lineRule="exact"/>
        <w:rPr>
          <w:sz w:val="20"/>
          <w:szCs w:val="20"/>
          <w:color w:val="auto"/>
        </w:rPr>
      </w:pPr>
    </w:p>
    <w:p>
      <w:pPr>
        <w:ind w:left="60" w:right="399"/>
        <w:spacing w:after="0" w:line="274" w:lineRule="auto"/>
        <w:rPr>
          <w:sz w:val="20"/>
          <w:szCs w:val="20"/>
          <w:color w:val="auto"/>
        </w:rPr>
      </w:pPr>
      <w:r>
        <w:rPr>
          <w:rFonts w:ascii="Arial" w:cs="Arial" w:eastAsia="Arial" w:hAnsi="Arial"/>
          <w:sz w:val="17"/>
          <w:szCs w:val="17"/>
          <w:color w:val="auto"/>
        </w:rPr>
        <w:t>Unrecognized income tax benefits represent income tax positions taken on income tax returns that have not been recognized in the financial statements. The Company recognizes the benefit of an income tax position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only if it is more likely than not (greater than 50%) that the tax position will be sustained upon tax examination, based solely on the technical merits of the tax position. Otherwise, no benefit is recognized. The tax benefits recognized are measured based on the largest benefit that has a greater than 50% likelihood of being realized upon ultimate settlement. The Company accrues interest and related penalties are classified as income tax expense in the statements of operations. The Company does not anticipate significant changes in the amount of unrecognized income tax benefits over the next year.</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RECENT ACCOUNTING PRONOUNCEMENTS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21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 (Topic 326):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Credit Losses on Financial Instruments </w:t>
      </w:r>
      <w:r>
        <w:rPr>
          <w:rFonts w:ascii="Arial" w:cs="Arial" w:eastAsia="Arial" w:hAnsi="Arial"/>
          <w:sz w:val="18"/>
          <w:szCs w:val="18"/>
          <w:color w:val="auto"/>
        </w:rPr>
        <w:t>(</w:t>
      </w:r>
      <w:r>
        <w:rPr>
          <w:rFonts w:ascii="Arial" w:cs="Arial" w:eastAsia="Arial" w:hAnsi="Arial"/>
          <w:sz w:val="18"/>
          <w:szCs w:val="18"/>
          <w:i w:val="1"/>
          <w:iCs w:val="1"/>
          <w:color w:val="auto"/>
        </w:rPr>
        <w:t>“Topic 326”</w:t>
      </w:r>
      <w:r>
        <w:rPr>
          <w:rFonts w:ascii="Arial" w:cs="Arial" w:eastAsia="Arial" w:hAnsi="Arial"/>
          <w:sz w:val="18"/>
          <w:szCs w:val="18"/>
          <w:color w:val="auto"/>
        </w:rPr>
        <w:t>). This ASU provides guidance for recognizing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losses on financial instruments based on an estimate of current expected credit losses model. The FASB subsequently issued </w:t>
      </w:r>
      <w:r>
        <w:rPr>
          <w:rFonts w:ascii="Arial" w:cs="Arial" w:eastAsia="Arial" w:hAnsi="Arial"/>
          <w:sz w:val="18"/>
          <w:szCs w:val="18"/>
          <w:i w:val="1"/>
          <w:iCs w:val="1"/>
          <w:color w:val="auto"/>
        </w:rPr>
        <w:t>ASU 2019-04, Codification Improvements to Topic 326, 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815, Derivatives and Hedging (Topic 815)</w:t>
      </w:r>
      <w:r>
        <w:rPr>
          <w:rFonts w:ascii="Arial" w:cs="Arial" w:eastAsia="Arial" w:hAnsi="Arial"/>
          <w:sz w:val="18"/>
          <w:szCs w:val="18"/>
          <w:color w:val="auto"/>
        </w:rPr>
        <w:t>, and</w:t>
      </w:r>
      <w:r>
        <w:rPr>
          <w:rFonts w:ascii="Arial" w:cs="Arial" w:eastAsia="Arial" w:hAnsi="Arial"/>
          <w:sz w:val="18"/>
          <w:szCs w:val="18"/>
          <w:i w:val="1"/>
          <w:iCs w:val="1"/>
          <w:color w:val="auto"/>
        </w:rPr>
        <w:t xml:space="preserve"> Topic 825, Financial Instruments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ASU 2019-11</w:t>
      </w:r>
      <w:r>
        <w:rPr>
          <w:rFonts w:ascii="Arial" w:cs="Arial" w:eastAsia="Arial" w:hAnsi="Arial"/>
          <w:sz w:val="18"/>
          <w:szCs w:val="18"/>
          <w:color w:val="auto"/>
        </w:rPr>
        <w:t>,</w:t>
      </w:r>
      <w:r>
        <w:rPr>
          <w:rFonts w:ascii="Arial" w:cs="Arial" w:eastAsia="Arial" w:hAnsi="Arial"/>
          <w:sz w:val="18"/>
          <w:szCs w:val="18"/>
          <w:i w:val="1"/>
          <w:iCs w:val="1"/>
          <w:color w:val="auto"/>
        </w:rPr>
        <w:t xml:space="preserve"> Codification Improvements to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Instruments - Credit Losses </w:t>
      </w:r>
      <w:r>
        <w:rPr>
          <w:rFonts w:ascii="Arial" w:cs="Arial" w:eastAsia="Arial" w:hAnsi="Arial"/>
          <w:sz w:val="18"/>
          <w:szCs w:val="18"/>
          <w:color w:val="auto"/>
        </w:rPr>
        <w:t>to clarify and address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items related to the amendments in Topic 326.</w:t>
      </w:r>
    </w:p>
    <w:p>
      <w:pPr>
        <w:spacing w:after="0" w:line="18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ASU 2019-05, Financial Instruments - 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Targeted Transition Relief</w:t>
      </w:r>
      <w:r>
        <w:rPr>
          <w:rFonts w:ascii="Arial" w:cs="Arial" w:eastAsia="Arial" w:hAnsi="Arial"/>
          <w:sz w:val="18"/>
          <w:szCs w:val="18"/>
          <w:color w:val="auto"/>
        </w:rPr>
        <w:t>, was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 entities that have certain instruments within the scope of ASC 326 with an option to irrevocably elect 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 ASU 2019-10, Topic 326, Topic 815, and Topic 842 amends the mandatory effective date for Topic 326.</w:t>
      </w:r>
    </w:p>
    <w:p>
      <w:pPr>
        <w:spacing w:after="0" w:line="18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i w:val="1"/>
          <w:iCs w:val="1"/>
          <w:color w:val="auto"/>
        </w:rPr>
        <w:t xml:space="preserve">ASU 2019-05 </w:t>
      </w:r>
      <w:r>
        <w:rPr>
          <w:rFonts w:ascii="Arial" w:cs="Arial" w:eastAsia="Arial" w:hAnsi="Arial"/>
          <w:sz w:val="18"/>
          <w:szCs w:val="18"/>
          <w:color w:val="auto"/>
        </w:rPr>
        <w:t>is effective for fiscal years beginning after December 15, 2022 for entities that are eligible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the SEC as a smaller reporting company. The Company is a smaller reporting company. Although the impact upon adoption will depend on the financial instruments held by the Company at that time, the Company does not anticipate a significant impact on its financial statements based on the instruments currently held and its historical trend of bad debt expense relating to trade accounts receivable.</w:t>
      </w:r>
    </w:p>
    <w:p>
      <w:pPr>
        <w:spacing w:after="0" w:line="189"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Other than the items noted above, there have been no new accounting pronouncements not yet effective or adopted in the current year that we believe have a significant impact, or potential significant impact, to our financial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 AND FINANCIAL INSTRUMENTS</w:t>
      </w:r>
    </w:p>
    <w:p>
      <w:pPr>
        <w:spacing w:after="0" w:line="234"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The carrying values of cash equivalents, accounts receivable, prepaids and other current assets, and accounts payable on the Company’s balance sheets approximated their fair values as of December 31, 2021 and 2020 due to their short-term nature. The carrying values of the Company’s current credit facility approximated its fair value as of December 31, 2021 and 2020 due to its variable interest rate. The carrying value of the Company’s note receivable approximated its fair value as of December 31, 2021 due to its variable interest rate.</w:t>
      </w:r>
    </w:p>
    <w:p>
      <w:pPr>
        <w:spacing w:after="0" w:line="190"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 xml:space="preserve">:  </w:t>
      </w:r>
      <w:r>
        <w:rPr>
          <w:rFonts w:ascii="Arial" w:cs="Arial" w:eastAsia="Arial" w:hAnsi="Arial"/>
          <w:sz w:val="17"/>
          <w:szCs w:val="17"/>
          <w:color w:val="auto"/>
        </w:rPr>
        <w:t>Inputs are quoted prices for identical instruments in active markets.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Statements—(Continued)</w:t>
      </w:r>
    </w:p>
    <w:p>
      <w:pPr>
        <w:sectPr>
          <w:pgSz w:w="11900" w:h="16838" w:orient="portrait"/>
          <w:cols w:equalWidth="0" w:num="1">
            <w:col w:w="9019"/>
          </w:cols>
          <w:pgMar w:left="1440" w:top="517" w:right="1440" w:bottom="1440" w:gutter="0" w:footer="0" w:header="0"/>
        </w:sect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Level 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left="180" w:right="199" w:hanging="183"/>
        <w:spacing w:after="0"/>
        <w:rPr>
          <w:sz w:val="20"/>
          <w:szCs w:val="20"/>
          <w:color w:val="auto"/>
        </w:rPr>
      </w:pP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203" w:lineRule="exact"/>
        <w:rPr>
          <w:sz w:val="20"/>
          <w:szCs w:val="20"/>
          <w:color w:val="auto"/>
        </w:rPr>
      </w:pPr>
    </w:p>
    <w:p>
      <w:pPr>
        <w:ind w:right="339"/>
        <w:spacing w:after="0" w:line="246" w:lineRule="auto"/>
        <w:rPr>
          <w:sz w:val="20"/>
          <w:szCs w:val="20"/>
          <w:color w:val="auto"/>
        </w:rPr>
      </w:pPr>
      <w:r>
        <w:rPr>
          <w:rFonts w:ascii="Arial" w:cs="Arial" w:eastAsia="Arial" w:hAnsi="Arial"/>
          <w:sz w:val="18"/>
          <w:szCs w:val="18"/>
          <w:color w:val="auto"/>
        </w:rPr>
        <w:t>Inputs are unobservable and reflect the Company’s own assumptions, based on the best information available, including the Company’s own data.</w:t>
      </w:r>
    </w:p>
    <w:p>
      <w:pPr>
        <w:spacing w:after="0" w:line="192" w:lineRule="exact"/>
        <w:rPr>
          <w:sz w:val="20"/>
          <w:szCs w:val="20"/>
          <w:color w:val="auto"/>
        </w:rPr>
      </w:pPr>
    </w:p>
    <w:p>
      <w:pPr>
        <w:sectPr>
          <w:pgSz w:w="11900" w:h="16838" w:orient="portrait"/>
          <w:cols w:equalWidth="0" w:num="2">
            <w:col w:w="600" w:space="100"/>
            <w:col w:w="831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tables set forth the carrying amounts and fair values of the Company’s financial instruments as</w:t>
      </w:r>
    </w:p>
    <w:p>
      <w:pPr>
        <w:ind w:left="60"/>
        <w:spacing w:after="0"/>
        <w:rPr>
          <w:sz w:val="20"/>
          <w:szCs w:val="20"/>
          <w:color w:val="auto"/>
        </w:rPr>
      </w:pPr>
      <w:r>
        <w:rPr>
          <w:rFonts w:ascii="Arial" w:cs="Arial" w:eastAsia="Arial" w:hAnsi="Arial"/>
          <w:sz w:val="18"/>
          <w:szCs w:val="18"/>
          <w:color w:val="auto"/>
        </w:rPr>
        <w:t>December 31, 2021 and 2020 (in thousands):</w:t>
      </w:r>
    </w:p>
    <w:p>
      <w:pPr>
        <w:spacing w:after="0" w:line="199" w:lineRule="exact"/>
        <w:rPr>
          <w:sz w:val="20"/>
          <w:szCs w:val="20"/>
          <w:color w:val="auto"/>
        </w:rPr>
      </w:pPr>
    </w:p>
    <w:tbl>
      <w:tblPr>
        <w:tblLayout w:type="fixed"/>
        <w:tblInd w:w="50" w:type="dxa"/>
        <w:tblCellMar>
          <w:top w:w="0" w:type="dxa"/>
          <w:left w:w="0" w:type="dxa"/>
          <w:bottom w:w="0" w:type="dxa"/>
          <w:right w:w="0" w:type="dxa"/>
        </w:tblCellMar>
      </w:tblPr>
      <w:tr>
        <w:trPr>
          <w:trHeight w:val="175"/>
        </w:trPr>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December 31, 2021</w:t>
            </w: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10"/>
          </w:tcPr>
          <w:p>
            <w:pPr>
              <w:ind w:left="26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Quoted</w:t>
            </w:r>
          </w:p>
        </w:tc>
        <w:tc>
          <w:tcPr>
            <w:tcW w:w="104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rPr>
              <w:t>Significant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Prices In</w:t>
            </w:r>
          </w:p>
        </w:tc>
        <w:tc>
          <w:tcPr>
            <w:tcW w:w="12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Active</w:t>
            </w:r>
          </w:p>
        </w:tc>
        <w:tc>
          <w:tcPr>
            <w:tcW w:w="10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Observable</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4"/>
                <w:szCs w:val="14"/>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760" w:type="dxa"/>
            <w:vAlign w:val="bottom"/>
            <w:tcBorders>
              <w:top w:val="single" w:sz="8" w:color="CCEEFF"/>
              <w:left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CCEEFF"/>
            </w:tcBorders>
            <w:shd w:val="clear" w:color="auto" w:fill="000000"/>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Money market funds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91,236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91,236</w:t>
            </w:r>
          </w:p>
        </w:tc>
        <w:tc>
          <w:tcPr>
            <w:tcW w:w="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91,236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2020</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9"/>
          </w:tcPr>
          <w:p>
            <w:pPr>
              <w:ind w:left="24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Quoted</w:t>
            </w:r>
          </w:p>
        </w:tc>
        <w:tc>
          <w:tcPr>
            <w:tcW w:w="1040" w:type="dxa"/>
            <w:vAlign w:val="bottom"/>
            <w:gridSpan w:val="4"/>
          </w:tcPr>
          <w:p>
            <w:pPr>
              <w:jc w:val="center"/>
              <w:ind w:right="200"/>
              <w:spacing w:after="0" w:line="143" w:lineRule="exact"/>
              <w:rPr>
                <w:sz w:val="20"/>
                <w:szCs w:val="20"/>
                <w:color w:val="auto"/>
              </w:rPr>
            </w:pPr>
            <w:r>
              <w:rPr>
                <w:rFonts w:ascii="Arial" w:cs="Arial" w:eastAsia="Arial" w:hAnsi="Arial"/>
                <w:sz w:val="14"/>
                <w:szCs w:val="14"/>
                <w:b w:val="1"/>
                <w:bCs w:val="1"/>
                <w:color w:val="auto"/>
              </w:rPr>
              <w:t>Significant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Prices In</w:t>
            </w:r>
          </w:p>
        </w:tc>
        <w:tc>
          <w:tcPr>
            <w:tcW w:w="12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Active</w:t>
            </w: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Observable</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760" w:type="dxa"/>
            <w:vAlign w:val="bottom"/>
            <w:tcBorders>
              <w:top w:val="single" w:sz="8" w:color="CCEEFF"/>
              <w:left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CCEEFF"/>
            </w:tcBorders>
            <w:shd w:val="clear" w:color="auto" w:fill="000000"/>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Money market funds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47,117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47,117</w:t>
            </w:r>
          </w:p>
        </w:tc>
        <w:tc>
          <w:tcPr>
            <w:tcW w:w="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47,117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ACCOUNTS RECEIVABLE</w:t>
      </w:r>
    </w:p>
    <w:p>
      <w:pPr>
        <w:spacing w:after="0" w:line="234"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following table presents the composition of accounts receivable, net as of December 31, 2021 and 2020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86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accounts receivable - trade</w:t>
            </w: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8,178</w:t>
            </w:r>
          </w:p>
        </w:tc>
      </w:tr>
      <w:tr>
        <w:trPr>
          <w:trHeight w:val="203"/>
        </w:trPr>
        <w:tc>
          <w:tcPr>
            <w:tcW w:w="4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Allowances for doubtful accounts</w:t>
            </w:r>
          </w:p>
        </w:tc>
        <w:tc>
          <w:tcPr>
            <w:tcW w:w="17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(1,012)</w:t>
            </w:r>
          </w:p>
        </w:tc>
      </w:tr>
      <w:tr>
        <w:trPr>
          <w:trHeight w:val="196"/>
        </w:trPr>
        <w:tc>
          <w:tcPr>
            <w:tcW w:w="48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Accounts receivable, net</w:t>
            </w:r>
          </w:p>
        </w:tc>
        <w:tc>
          <w:tcPr>
            <w:tcW w:w="1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7,166</w:t>
            </w:r>
          </w:p>
        </w:tc>
      </w:tr>
      <w:tr>
        <w:trPr>
          <w:trHeight w:val="20"/>
        </w:trPr>
        <w:tc>
          <w:tcPr>
            <w:tcW w:w="4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a rollforward of the allowance for doubtful accounts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at</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Bad Debt</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Write-offs of</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49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Beginning of</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Expense</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Uncollectible</w:t>
            </w:r>
          </w:p>
        </w:tc>
        <w:tc>
          <w:tcPr>
            <w:tcW w:w="16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End of</w:t>
            </w:r>
          </w:p>
        </w:tc>
      </w:tr>
      <w:tr>
        <w:trPr>
          <w:trHeight w:val="175"/>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Period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Recognized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Balances</w:t>
            </w:r>
          </w:p>
        </w:tc>
        <w:tc>
          <w:tcPr>
            <w:tcW w:w="16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Period</w:t>
            </w:r>
          </w:p>
        </w:tc>
      </w:tr>
      <w:tr>
        <w:trPr>
          <w:trHeight w:val="196"/>
        </w:trPr>
        <w:tc>
          <w:tcPr>
            <w:tcW w:w="4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Year ended December 31, 2019</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(548)</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Year ended December 31, 2020</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(548)</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(897)</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433</w:t>
            </w:r>
          </w:p>
        </w:tc>
        <w:tc>
          <w:tcPr>
            <w:tcW w:w="1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(1,012)</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Year ended December 31, 2021</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(1,012)</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(763)</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AND EQUIPMENT AND CAPITALIZED SOFTWARE</w:t>
      </w:r>
    </w:p>
    <w:p>
      <w:pPr>
        <w:spacing w:after="0" w:line="234"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The following table presents the composition of property and equipment, net as of December 31, 2021 and 2020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r>
      <w:tr>
        <w:trPr>
          <w:trHeight w:val="196"/>
        </w:trPr>
        <w:tc>
          <w:tcPr>
            <w:tcW w:w="6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7"/>
                <w:szCs w:val="17"/>
                <w:color w:val="auto"/>
              </w:rPr>
            </w:pP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17"/>
                <w:szCs w:val="17"/>
                <w:color w:val="auto"/>
              </w:rPr>
            </w:pP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Manufacturing equipment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7"/>
                <w:szCs w:val="17"/>
                <w:color w:val="auto"/>
              </w:rPr>
            </w:pPr>
          </w:p>
        </w:tc>
      </w:tr>
      <w:tr>
        <w:trPr>
          <w:trHeight w:val="203"/>
        </w:trPr>
        <w:tc>
          <w:tcPr>
            <w:tcW w:w="63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Rental equipment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405</w:t>
            </w:r>
          </w:p>
        </w:tc>
        <w:tc>
          <w:tcPr>
            <w:tcW w:w="20" w:type="dxa"/>
            <w:vAlign w:val="bottom"/>
            <w:tcBorders>
              <w:bottom w:val="single" w:sz="8" w:color="CCEEFF"/>
            </w:tcBorders>
          </w:tcPr>
          <w:p>
            <w:pPr>
              <w:spacing w:after="0"/>
              <w:rPr>
                <w:sz w:val="17"/>
                <w:szCs w:val="17"/>
                <w:color w:val="auto"/>
              </w:rPr>
            </w:pPr>
          </w:p>
        </w:tc>
      </w:tr>
      <w:tr>
        <w:trPr>
          <w:trHeight w:val="196"/>
        </w:trPr>
        <w:tc>
          <w:tcPr>
            <w:tcW w:w="63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gross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3,134</w:t>
            </w:r>
          </w:p>
        </w:tc>
        <w:tc>
          <w:tcPr>
            <w:tcW w:w="20" w:type="dxa"/>
            <w:vAlign w:val="bottom"/>
            <w:shd w:val="clear" w:color="auto" w:fill="CCEEFF"/>
          </w:tcPr>
          <w:p>
            <w:pPr>
              <w:spacing w:after="0"/>
              <w:rPr>
                <w:sz w:val="17"/>
                <w:szCs w:val="17"/>
                <w:color w:val="auto"/>
              </w:rPr>
            </w:pPr>
          </w:p>
        </w:tc>
      </w:tr>
      <w:tr>
        <w:trPr>
          <w:trHeight w:val="203"/>
        </w:trPr>
        <w:tc>
          <w:tcPr>
            <w:tcW w:w="6320" w:type="dxa"/>
            <w:vAlign w:val="bottom"/>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(2,537)</w:t>
            </w:r>
          </w:p>
        </w:tc>
        <w:tc>
          <w:tcPr>
            <w:tcW w:w="14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(2,404)</w:t>
            </w:r>
          </w:p>
        </w:tc>
      </w:tr>
      <w:tr>
        <w:trPr>
          <w:trHeight w:val="196"/>
        </w:trPr>
        <w:tc>
          <w:tcPr>
            <w:tcW w:w="632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As of December 31, 2021 and 2020, the Company had capitalized software costs, net of $2.5 million and $1.2 million, respectively, which are included in “Other assets” on the balance sheet.</w:t>
      </w:r>
    </w:p>
    <w:p>
      <w:pPr>
        <w:spacing w:after="0" w:line="197"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Depreciation and amortization expense was $1.1 million, $0.9 million, and $1.1 million for the years ended December 31, 2021, 2020 and 2019, respectively.</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NOTE RECEIVABLES</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September 29, 2021, Neuronetics, Inc. the Company entered into an exclusive, five-year master sales agreement (the “Commercial Agreement”) with Check Five, LLC d/b/a Success TMS (“Success TMS”). In connection with the Commercial Agreement, the Company agreed to loan Success TMS the principal amount of $10.0 million for a period of five years pursuant to a secured promissory note (the “Note”). The Note will bear interest at a floating rate equal to the prime rate plus 6.00% per annum. The Note includes an interest-only period through October 1, 2022, after which time Success TMS will be required to make monthly payments of principal and interest. The interest-only period can be extended by the Company to October 1, 2023 upon satisfaction of certain conditions by Success TMS after which time Success TMS will be required to make payments of principal and interest. Under the terms of the Note, the Company has received a first priority security interest in substantially all of the assets of Success TMS. Success TMS has also granted the Company an observer seat on the Board of Managers of Success TMS.</w:t>
      </w:r>
    </w:p>
    <w:p>
      <w:pPr>
        <w:spacing w:after="0" w:line="20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the Note, Success TMS has made certain representations and warranties and is required to comply with certain customary affirmative and negative covenants during the term of the Note. The Note contains events of default, including, without limitation: (i) failure to make payment pursuant to the terms of the Note; (ii) violation of covenants; (iii) breach of any representation or warranty; (iv) breach or default under the Commercial Agreement; (v) material adverse changes to Success TMS’s business; (vi) any impairment of the Company’s security interest in collateral; (vii) attachment or levy on Success TMS’s assets or judicial restraint on its business; (viii) commencement of insolvency proceedings; (ix) material cross-defaults; (x) significant judgments, orders or awards for payment against Success TMS; (xi) a change of control of Success TMS; and (xii) the invalidity or unenforceability of the Note or the Commercial Agreement. The owner of Success TMS, 6214 Riverwalk LLC, has provided a limited guarantee and pledge of its equity in Success TMS in connection with the Note.</w:t>
      </w:r>
    </w:p>
    <w:p>
      <w:pPr>
        <w:spacing w:after="0" w:line="205"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As of December 31, 2021, Success TMS has represented to the Company that Success TMS is in compliance with all covenants of the Note.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Interest income recognized by the Company was $0.2 for the year ended December 31, 2021 and included within “Other income, net” on the statement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w:t>
      </w:r>
    </w:p>
    <w:p>
      <w:pPr>
        <w:spacing w:after="0" w:line="23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Company has operating leases for its corporate headquarters, a training facility and office equipment, including copiers. The Company leases an approximately 32,000 square foot facility in Malvern, Pennsylvania for its corporate headquarters, which includes office and warehouse space. In the first quarter of 2019, the Company signed a lease modification for its Malvern facility that extended the lease through February 2028 and included approximately 10,000 square foot of additional premises. The Company has an option to extend the lease on its combined 42,000 square foot facility for an additional five-year term; however, the Company has determined it is not reasonably certain to exercise the option at this time due to on-going personnel expansion efforts.</w:t>
      </w:r>
    </w:p>
    <w:p>
      <w:pPr>
        <w:spacing w:after="0" w:line="208"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The Company leases an approximately 9,600 square foot facility in Charlotte, North Carolina as a training facility for its NeuroStar Advanced Therapy Systems. The Company has an option to extend the lease on its training facility for an additional one-year term; however, the Company has determined it is not reasonably certain to exercise the option at this time after assessing contract, asset, entity and market conditions present upon lease commencement.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also maintains operating leases on office equipment, including copiers, which end in</w:t>
      </w:r>
    </w:p>
    <w:p>
      <w:pPr>
        <w:ind w:left="60" w:right="379"/>
        <w:spacing w:after="0" w:line="246" w:lineRule="auto"/>
        <w:rPr>
          <w:sz w:val="20"/>
          <w:szCs w:val="20"/>
          <w:color w:val="auto"/>
        </w:rPr>
      </w:pPr>
      <w:r>
        <w:rPr>
          <w:rFonts w:ascii="Arial" w:cs="Arial" w:eastAsia="Arial" w:hAnsi="Arial"/>
          <w:sz w:val="18"/>
          <w:szCs w:val="18"/>
          <w:color w:val="auto"/>
        </w:rPr>
        <w:t>March 2023. The Company does not currently have any finance leases or executed leases that have not yet commenced.</w:t>
      </w:r>
    </w:p>
    <w:p>
      <w:pPr>
        <w:spacing w:after="0" w:line="197"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Operating lease rent expense was $0.7 million, $0.6 million, and $0.5 million for each of the years ended December 31, 2021, 2020 and 2019, respectively. As of December 31, 2021, the weighted-average remaining lease term of operating leases was 6.0 years and the weighted-average discount rate was 7.1%.</w:t>
      </w:r>
    </w:p>
    <w:p>
      <w:pPr>
        <w:spacing w:after="0" w:line="203"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The following table presents the supplemental cash flow information as a lessee related to leases for the years ended December 31, 2021 and 2020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Year Ended</w:t>
            </w:r>
          </w:p>
        </w:tc>
        <w:tc>
          <w:tcPr>
            <w:tcW w:w="720" w:type="dxa"/>
            <w:vAlign w:val="bottom"/>
            <w:tcBorders>
              <w:bottom w:val="single" w:sz="8" w:color="auto"/>
            </w:tcBorders>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58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2020</w:t>
            </w: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740" w:type="dxa"/>
            <w:vAlign w:val="bottom"/>
            <w:gridSpan w:val="2"/>
          </w:tcPr>
          <w:p>
            <w:pPr>
              <w:jc w:val="right"/>
              <w:ind w:right="36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80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760</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2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74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866</w:t>
            </w:r>
          </w:p>
        </w:tc>
        <w:tc>
          <w:tcPr>
            <w:tcW w:w="8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36"/>
        </w:trPr>
        <w:tc>
          <w:tcPr>
            <w:tcW w:w="20" w:type="dxa"/>
            <w:vAlign w:val="bottom"/>
          </w:tcPr>
          <w:p>
            <w:pPr>
              <w:spacing w:after="0"/>
              <w:rPr>
                <w:sz w:val="24"/>
                <w:szCs w:val="24"/>
                <w:color w:val="auto"/>
              </w:rPr>
            </w:pPr>
          </w:p>
        </w:tc>
        <w:tc>
          <w:tcPr>
            <w:tcW w:w="5820" w:type="dxa"/>
            <w:vAlign w:val="bottom"/>
          </w:tcPr>
          <w:p>
            <w:pPr>
              <w:ind w:left="4260"/>
              <w:spacing w:after="0"/>
              <w:rPr>
                <w:sz w:val="20"/>
                <w:szCs w:val="20"/>
                <w:color w:val="auto"/>
              </w:rPr>
            </w:pPr>
            <w:r>
              <w:rPr>
                <w:rFonts w:ascii="Arial" w:cs="Arial" w:eastAsia="Arial" w:hAnsi="Arial"/>
                <w:sz w:val="18"/>
                <w:szCs w:val="18"/>
                <w:color w:val="auto"/>
              </w:rPr>
              <w:t>F-19</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33"/>
        </w:trPr>
        <w:tc>
          <w:tcPr>
            <w:tcW w:w="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as of</w:t>
      </w:r>
    </w:p>
    <w:p>
      <w:pPr>
        <w:ind w:left="60"/>
        <w:spacing w:after="0"/>
        <w:rPr>
          <w:sz w:val="20"/>
          <w:szCs w:val="20"/>
          <w:color w:val="auto"/>
        </w:rPr>
      </w:pPr>
      <w:r>
        <w:rPr>
          <w:rFonts w:ascii="Arial" w:cs="Arial" w:eastAsia="Arial" w:hAnsi="Arial"/>
          <w:sz w:val="18"/>
          <w:szCs w:val="18"/>
          <w:color w:val="auto"/>
        </w:rPr>
        <w:t>December 31, 2021 (in thousands):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36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886</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w:t>
            </w:r>
          </w:p>
        </w:tc>
      </w:tr>
      <w:tr>
        <w:trPr>
          <w:trHeight w:val="203"/>
        </w:trPr>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999</w:t>
            </w:r>
          </w:p>
        </w:tc>
      </w:tr>
      <w:tr>
        <w:trPr>
          <w:trHeight w:val="196"/>
        </w:trPr>
        <w:tc>
          <w:tcPr>
            <w:tcW w:w="53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5,299</w:t>
            </w:r>
          </w:p>
        </w:tc>
      </w:tr>
      <w:tr>
        <w:trPr>
          <w:trHeight w:val="203"/>
        </w:trPr>
        <w:tc>
          <w:tcPr>
            <w:tcW w:w="53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Less imputed interest</w:t>
            </w:r>
          </w:p>
        </w:tc>
        <w:tc>
          <w:tcPr>
            <w:tcW w:w="17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(1,090)</w:t>
            </w:r>
          </w:p>
        </w:tc>
      </w:tr>
      <w:tr>
        <w:trPr>
          <w:trHeight w:val="196"/>
        </w:trPr>
        <w:tc>
          <w:tcPr>
            <w:tcW w:w="536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4,209</w:t>
            </w:r>
          </w:p>
        </w:tc>
      </w:tr>
      <w:tr>
        <w:trPr>
          <w:trHeight w:val="20"/>
        </w:trPr>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sales-type leases:</w:t>
      </w:r>
    </w:p>
    <w:p>
      <w:pPr>
        <w:spacing w:after="0" w:line="23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Certain costumers have purchased NeuroStar Advanced Therapy Systems on a rent-to-own basis. The lease term is three years with a customer option to purchase the NeuroStar Advanced Therapy System at the end of the lease or automatic transfer of ownership of the NeuroStar Advanced Therapy System at the end of the lease.</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258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3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Profit recognized at commencement, net</w:t>
            </w:r>
          </w:p>
        </w:tc>
        <w:tc>
          <w:tcPr>
            <w:tcW w:w="780" w:type="dxa"/>
            <w:vAlign w:val="bottom"/>
            <w:shd w:val="clear" w:color="auto" w:fill="CCEEFF"/>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1,075</w:t>
            </w: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7"/>
                <w:szCs w:val="17"/>
                <w:color w:val="auto"/>
              </w:rPr>
            </w:pPr>
          </w:p>
        </w:tc>
        <w:tc>
          <w:tcPr>
            <w:tcW w:w="6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32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sales-type lease income</w:t>
            </w:r>
          </w:p>
        </w:tc>
        <w:tc>
          <w:tcPr>
            <w:tcW w:w="780" w:type="dxa"/>
            <w:vAlign w:val="bottom"/>
            <w:tcBorders>
              <w:top w:val="single" w:sz="8" w:color="auto"/>
              <w:bottom w:val="single" w:sz="8" w:color="auto"/>
            </w:tcBorders>
            <w:shd w:val="clear" w:color="auto" w:fill="CCEEFF"/>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1,075</w:t>
            </w:r>
          </w:p>
        </w:tc>
      </w:tr>
      <w:tr>
        <w:trPr>
          <w:trHeight w:val="20"/>
        </w:trPr>
        <w:tc>
          <w:tcPr>
            <w:tcW w:w="6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following table sets forth a maturity analysis of the undiscounted lease receivables related to sales-type leases as of December 31, 2021 (in thousands):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r>
      <w:tr>
        <w:trPr>
          <w:trHeight w:val="196"/>
        </w:trPr>
        <w:tc>
          <w:tcPr>
            <w:tcW w:w="7080" w:type="dxa"/>
            <w:vAlign w:val="bottom"/>
            <w:shd w:val="clear" w:color="auto" w:fill="CCEEFF"/>
          </w:tcPr>
          <w:p>
            <w:pPr>
              <w:jc w:val="right"/>
              <w:ind w:right="6590"/>
              <w:spacing w:after="0" w:line="196" w:lineRule="exact"/>
              <w:rPr>
                <w:sz w:val="20"/>
                <w:szCs w:val="20"/>
                <w:color w:val="auto"/>
              </w:rPr>
            </w:pPr>
            <w:r>
              <w:rPr>
                <w:rFonts w:ascii="Arial" w:cs="Arial" w:eastAsia="Arial" w:hAnsi="Arial"/>
                <w:sz w:val="18"/>
                <w:szCs w:val="18"/>
                <w:color w:val="auto"/>
                <w:w w:val="94"/>
              </w:rPr>
              <w:t>2022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2,207</w:t>
            </w:r>
          </w:p>
        </w:tc>
      </w:tr>
      <w:tr>
        <w:trPr>
          <w:trHeight w:val="203"/>
        </w:trPr>
        <w:tc>
          <w:tcPr>
            <w:tcW w:w="7080" w:type="dxa"/>
            <w:vAlign w:val="bottom"/>
          </w:tcPr>
          <w:p>
            <w:pPr>
              <w:jc w:val="right"/>
              <w:ind w:right="6590"/>
              <w:spacing w:after="0" w:line="202" w:lineRule="exact"/>
              <w:rPr>
                <w:sz w:val="20"/>
                <w:szCs w:val="20"/>
                <w:color w:val="auto"/>
              </w:rPr>
            </w:pPr>
            <w:r>
              <w:rPr>
                <w:rFonts w:ascii="Arial" w:cs="Arial" w:eastAsia="Arial" w:hAnsi="Arial"/>
                <w:sz w:val="18"/>
                <w:szCs w:val="18"/>
                <w:color w:val="auto"/>
                <w:w w:val="94"/>
              </w:rPr>
              <w:t>2023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1,194</w:t>
            </w:r>
          </w:p>
        </w:tc>
      </w:tr>
      <w:tr>
        <w:trPr>
          <w:trHeight w:val="203"/>
        </w:trPr>
        <w:tc>
          <w:tcPr>
            <w:tcW w:w="7080" w:type="dxa"/>
            <w:vAlign w:val="bottom"/>
            <w:shd w:val="clear" w:color="auto" w:fill="CCEEFF"/>
          </w:tcPr>
          <w:p>
            <w:pPr>
              <w:jc w:val="right"/>
              <w:ind w:right="6590"/>
              <w:spacing w:after="0" w:line="202" w:lineRule="exact"/>
              <w:rPr>
                <w:sz w:val="20"/>
                <w:szCs w:val="20"/>
                <w:color w:val="auto"/>
              </w:rPr>
            </w:pPr>
            <w:r>
              <w:rPr>
                <w:rFonts w:ascii="Arial" w:cs="Arial" w:eastAsia="Arial" w:hAnsi="Arial"/>
                <w:sz w:val="18"/>
                <w:szCs w:val="18"/>
                <w:color w:val="auto"/>
                <w:w w:val="94"/>
              </w:rPr>
              <w:t>2024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w:t>
            </w:r>
          </w:p>
        </w:tc>
      </w:tr>
      <w:tr>
        <w:trPr>
          <w:trHeight w:val="203"/>
        </w:trPr>
        <w:tc>
          <w:tcPr>
            <w:tcW w:w="7080" w:type="dxa"/>
            <w:vAlign w:val="bottom"/>
          </w:tcPr>
          <w:p>
            <w:pPr>
              <w:jc w:val="right"/>
              <w:ind w:right="6590"/>
              <w:spacing w:after="0" w:line="202" w:lineRule="exact"/>
              <w:rPr>
                <w:sz w:val="20"/>
                <w:szCs w:val="20"/>
                <w:color w:val="auto"/>
              </w:rPr>
            </w:pPr>
            <w:r>
              <w:rPr>
                <w:rFonts w:ascii="Arial" w:cs="Arial" w:eastAsia="Arial" w:hAnsi="Arial"/>
                <w:sz w:val="18"/>
                <w:szCs w:val="18"/>
                <w:color w:val="auto"/>
                <w:w w:val="94"/>
              </w:rPr>
              <w:t>2025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7080" w:type="dxa"/>
            <w:vAlign w:val="bottom"/>
            <w:shd w:val="clear" w:color="auto" w:fill="CCEEFF"/>
          </w:tcPr>
          <w:p>
            <w:pPr>
              <w:jc w:val="right"/>
              <w:ind w:right="6590"/>
              <w:spacing w:after="0" w:line="202" w:lineRule="exact"/>
              <w:rPr>
                <w:sz w:val="20"/>
                <w:szCs w:val="20"/>
                <w:color w:val="auto"/>
              </w:rPr>
            </w:pPr>
            <w:r>
              <w:rPr>
                <w:rFonts w:ascii="Arial" w:cs="Arial" w:eastAsia="Arial" w:hAnsi="Arial"/>
                <w:sz w:val="18"/>
                <w:szCs w:val="18"/>
                <w:color w:val="auto"/>
                <w:w w:val="94"/>
              </w:rPr>
              <w:t>2026</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080" w:type="dxa"/>
            <w:vAlign w:val="bottom"/>
          </w:tcPr>
          <w:p>
            <w:pPr>
              <w:jc w:val="right"/>
              <w:ind w:right="4190"/>
              <w:spacing w:after="0" w:line="196" w:lineRule="exact"/>
              <w:rPr>
                <w:sz w:val="20"/>
                <w:szCs w:val="20"/>
                <w:color w:val="auto"/>
              </w:rPr>
            </w:pPr>
            <w:r>
              <w:rPr>
                <w:rFonts w:ascii="Arial" w:cs="Arial" w:eastAsia="Arial" w:hAnsi="Arial"/>
                <w:sz w:val="18"/>
                <w:szCs w:val="18"/>
                <w:color w:val="auto"/>
              </w:rPr>
              <w:t>Total sales-type lease receivables</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3,895</w:t>
            </w: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As of December 31, 2021 and 2020, the carrying amount of the lease receivables is $3.9 million and $4.2 million, respectively. The Company does not have any unguaranteed residual assets.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operating leases:</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NeuroStar Advanced Therapy Systems sold on a rent-to-own basis prior to January 1, 2019 are accounted for as operating leases. NeuroStar Advanced Therapy Systems sold subsequent to January 1, 2019 for which collection is not probable are also accounted for as operating leases. For the years ended December 31, 2021, 2020 and 2019, the Company recognized operating lease income of $0.3 million, $0.4 million and $0.7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maintained Rental Equipment, net of $0.6 million and $0.2 million, as of December 31, 2021 and 2020, respectively, which are included in “Property and equipment, net” on the balance sheet. Rental equipment depreciation expense was $0.05 million, $0.1 million and $0.2 million for the years ended December 31, 2021, 2020 and 2019,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PREPAID COMMISSION EXPENSE</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pays a commission on both NeuroStar Advanced Therapy System sales and Treatment Session sales. Since the commission paid for NeuroStar Advanced Therapy System sales is not commensurate with the commission paid for Treatment Sessions, the Company capitalizes commission expense associated with NeuroStar Advanced Therapy System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203"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Effective January 1, 2019 with the adoption of Topic 606, NeuroStar Advanced Therapy System commissions are deferred and amortized on a straight-line basis over a seven year period equal to the average customer term, which the Company deems to be the expected period of benefit for these costs. As result of the modified retrospective adoption method applied to open contracts only, the beginning balance as of January 1, 2019 did not include prepaid commission expense for those contracts that were substantially complete as of December 31, 2018.</w:t>
      </w:r>
    </w:p>
    <w:p>
      <w:pPr>
        <w:spacing w:after="0" w:line="20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On the Company’s balance sheets, the current portion of capitalized contract costs is represented by the current portion of prepaid commission expense, while the long-term portion is included in prepaid commission expense. Amortization expense was $1.3 million and $0.9 million for the years ended December 31, 2021 and December 31, 2020,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ACCRUED EXPENSES</w:t>
      </w:r>
    </w:p>
    <w:p>
      <w:pPr>
        <w:spacing w:after="0" w:line="234"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auto"/>
        </w:rPr>
        <w:t>The following table presents the composition of accrued expenses as of December 31, 2021 and 2020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4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r>
      <w:tr>
        <w:trPr>
          <w:trHeight w:val="196"/>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Compensation and related benefits</w:t>
            </w:r>
          </w:p>
        </w:tc>
        <w:tc>
          <w:tcPr>
            <w:tcW w:w="26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5,090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5,023</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Consulting and professional fees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202"/>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Warranty</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Sales and other taxes payable</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726</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r>
      <w:tr>
        <w:trPr>
          <w:trHeight w:val="196"/>
        </w:trPr>
        <w:tc>
          <w:tcPr>
            <w:tcW w:w="6480" w:type="dxa"/>
            <w:vAlign w:val="bottom"/>
          </w:tcPr>
          <w:p>
            <w:pPr>
              <w:ind w:left="120"/>
              <w:spacing w:after="0" w:line="196" w:lineRule="exact"/>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8,233</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7,319</w:t>
            </w: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DEBT</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debt as of December 31, 2021 and 2020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r>
      <w:tr>
        <w:trPr>
          <w:trHeight w:val="196"/>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principal</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Accrued final payment fees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debt discounts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(1,590)</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(2,305)</w:t>
            </w:r>
          </w:p>
        </w:tc>
      </w:tr>
      <w:tr>
        <w:trPr>
          <w:trHeight w:val="196"/>
        </w:trPr>
        <w:tc>
          <w:tcPr>
            <w:tcW w:w="6680" w:type="dxa"/>
            <w:vAlign w:val="bottom"/>
          </w:tcPr>
          <w:p>
            <w:pPr>
              <w:ind w:left="120"/>
              <w:spacing w:after="0" w:line="196" w:lineRule="exact"/>
              <w:rPr>
                <w:sz w:val="20"/>
                <w:szCs w:val="20"/>
                <w:color w:val="auto"/>
              </w:rPr>
            </w:pPr>
            <w:r>
              <w:rPr>
                <w:rFonts w:ascii="Arial" w:cs="Arial" w:eastAsia="Arial" w:hAnsi="Arial"/>
                <w:sz w:val="18"/>
                <w:szCs w:val="18"/>
                <w:color w:val="auto"/>
              </w:rPr>
              <w:t>Total debt, net</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35,335</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34,620</w:t>
            </w:r>
          </w:p>
        </w:tc>
      </w:tr>
      <w:tr>
        <w:trPr>
          <w:trHeight w:val="203"/>
        </w:trPr>
        <w:tc>
          <w:tcPr>
            <w:tcW w:w="66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680" w:type="dxa"/>
            <w:vAlign w:val="bottom"/>
          </w:tcPr>
          <w:p>
            <w:pPr>
              <w:ind w:left="120"/>
              <w:spacing w:after="0" w:line="196" w:lineRule="exact"/>
              <w:rPr>
                <w:sz w:val="20"/>
                <w:szCs w:val="20"/>
                <w:color w:val="auto"/>
              </w:rPr>
            </w:pPr>
            <w:r>
              <w:rPr>
                <w:rFonts w:ascii="Arial" w:cs="Arial" w:eastAsia="Arial" w:hAnsi="Arial"/>
                <w:sz w:val="18"/>
                <w:szCs w:val="18"/>
                <w:color w:val="auto"/>
              </w:rPr>
              <w:t>Long-term debt, net</w:t>
            </w: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35,335</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34,620</w:t>
            </w: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59"/>
        <w:spacing w:after="0"/>
        <w:rPr>
          <w:sz w:val="20"/>
          <w:szCs w:val="20"/>
          <w:color w:val="auto"/>
        </w:rPr>
      </w:pPr>
      <w:r>
        <w:rPr>
          <w:rFonts w:ascii="Arial" w:cs="Arial" w:eastAsia="Arial" w:hAnsi="Arial"/>
          <w:sz w:val="18"/>
          <w:szCs w:val="18"/>
          <w:color w:val="auto"/>
        </w:rPr>
        <w:t>For the year ended December 31, 2021, the Company recognized interest expense of $4.0 million, of which $3.3 million was cash and $0.7 million was non-cash interest expense related to the amortization of deferred debt issuance costs and accrual of final payment fees.</w:t>
      </w:r>
    </w:p>
    <w:p>
      <w:pPr>
        <w:spacing w:after="0" w:line="203" w:lineRule="exact"/>
        <w:rPr>
          <w:sz w:val="20"/>
          <w:szCs w:val="20"/>
          <w:color w:val="auto"/>
        </w:rPr>
      </w:pPr>
    </w:p>
    <w:p>
      <w:pPr>
        <w:jc w:val="both"/>
        <w:ind w:left="60" w:right="359"/>
        <w:spacing w:after="0"/>
        <w:rPr>
          <w:sz w:val="20"/>
          <w:szCs w:val="20"/>
          <w:color w:val="auto"/>
        </w:rPr>
      </w:pPr>
      <w:r>
        <w:rPr>
          <w:rFonts w:ascii="Arial" w:cs="Arial" w:eastAsia="Arial" w:hAnsi="Arial"/>
          <w:sz w:val="18"/>
          <w:szCs w:val="18"/>
          <w:color w:val="auto"/>
        </w:rPr>
        <w:t>For the year ended December 31, 2020, the Company recognized interest expense of $4.5 million, of which $3.9 million was cash and $0.6 million was non-cash interest expense related to the amortization of deferred debt issuance costs and accrual of final payment fees.</w:t>
      </w:r>
    </w:p>
    <w:p>
      <w:pPr>
        <w:spacing w:after="0" w:line="203" w:lineRule="exact"/>
        <w:rPr>
          <w:sz w:val="20"/>
          <w:szCs w:val="20"/>
          <w:color w:val="auto"/>
        </w:rPr>
      </w:pPr>
    </w:p>
    <w:p>
      <w:pPr>
        <w:jc w:val="both"/>
        <w:ind w:left="60" w:right="359"/>
        <w:spacing w:after="0"/>
        <w:rPr>
          <w:sz w:val="20"/>
          <w:szCs w:val="20"/>
          <w:color w:val="auto"/>
        </w:rPr>
      </w:pPr>
      <w:r>
        <w:rPr>
          <w:rFonts w:ascii="Arial" w:cs="Arial" w:eastAsia="Arial" w:hAnsi="Arial"/>
          <w:sz w:val="18"/>
          <w:szCs w:val="18"/>
          <w:color w:val="auto"/>
        </w:rPr>
        <w:t>For the year ended December 31, 2019, the Company recognized interest expense of $3.7 million, of which $2.9 million was cash and $0.8 million was non-cash interest expense related to the amortization of deferred debt issuance costs and accrual of final payment fees.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234"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On March 2, 2020, the “Company entered into a loan and security agreement with SLR Investment Corp. (formerly known as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205"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permits the Company to borrow up to an aggregate amount of $ 50.0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w:t>
      </w:r>
    </w:p>
    <w:p>
      <w:pPr>
        <w:spacing w:after="0" w:line="5" w:lineRule="exact"/>
        <w:rPr>
          <w:sz w:val="20"/>
          <w:szCs w:val="20"/>
          <w:color w:val="auto"/>
        </w:rPr>
      </w:pPr>
    </w:p>
    <w:p>
      <w:pPr>
        <w:ind w:left="60" w:right="599" w:hanging="10"/>
        <w:spacing w:after="0" w:line="246" w:lineRule="auto"/>
        <w:tabs>
          <w:tab w:leader="none" w:pos="3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December 15, 2021, (b) 30 days following achievement of the net product revenue condition or (c) the occurrence of an event of default.</w:t>
      </w:r>
    </w:p>
    <w:p>
      <w:pPr>
        <w:spacing w:after="0" w:line="197"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w:t>
      </w:r>
    </w:p>
    <w:p>
      <w:pPr>
        <w:spacing w:after="0" w:line="3"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97"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w:t>
      </w:r>
    </w:p>
    <w:p>
      <w:pPr>
        <w:spacing w:after="0" w:line="2" w:lineRule="exact"/>
        <w:rPr>
          <w:sz w:val="20"/>
          <w:szCs w:val="20"/>
          <w:color w:val="auto"/>
        </w:rPr>
      </w:pPr>
    </w:p>
    <w:p>
      <w:pPr>
        <w:ind w:left="60" w:right="59" w:hanging="10"/>
        <w:spacing w:after="0" w:line="237" w:lineRule="auto"/>
        <w:tabs>
          <w:tab w:leader="none" w:pos="3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205"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On December 8, 2020, the Company, Solar Capital Ltd., and our other lenders defined in the Solar Facility, executed an amendment to the Solar Facility (the “Solar Amendment”). The Solar Amendment divides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20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Solar Amendment also reduces the trailing twelve-month net product revenue requirement for the Amended Term B Loan portion of the facility. Subject to certain conditions, the Company has the ability to extend the interest only period on the initial Term A Loan to 36 months from 24 months upon achieving the revenue targets associated with the Amended Term B Loan. The Company was required to pay an amendment fee of $0.1 million to Solar, which has been recognized as a deferred debt issuance cost as of December 31, 2020 that will be amortized to interest expense using the effective interest method.</w:t>
      </w:r>
    </w:p>
    <w:p>
      <w:pPr>
        <w:spacing w:after="0" w:line="20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On February 15, 2022, the Company, SLR Investment Corp. (formerly known as Solar Capital Ltd.) (“Solar”)., and our other lenders defined in the Solar Facility, executed an amendment to the Solar Facility and the Solar Amendment (the “2022 Solar Amendment”). The 2022 Solar Amendment waived any default under the Solar Facility and Solar Amendment that resulted from the Company’s failure to comply with the minimum monthly trailing twelve months net product revenue financial covenant, beginning with the testing period for the calendar month ending December 31, 2021 and continuing to the execution date of the 2022 Solar Amendment; (ii) decreased the amount of trailing twelve months net product revenue that the Company is required to achieve, for testing periods on and from the calendar month ending January 31, 2022; (iii) modified the definition of the fourth draw period with respect to the Company’s ability to borrow the Term D Loan portion of the Solar Facility, such that after giving effect to the 2022 Solar Amendment, the Term D Loan portion of the Solar Facility is no longer available to be drawn by the Company; and (iv) modified the definition of interest only extension conditions to allow commencement of loan principal amortization under the Solar Facility to be extended to March 1, 2023.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86"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ind w:left="60" w:right="399" w:hanging="10"/>
        <w:spacing w:after="0" w:line="238"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w:t>
      </w:r>
    </w:p>
    <w:p>
      <w:pPr>
        <w:spacing w:after="0" w:line="20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beginning on December 31, 2020. The Company and lenders executed the Solar Amendment in December 2020 that reduced the minimum trailing net revenue covenant requirement amounts beginning on December 31, 2020 to allow the Company to maintain compliance with the covenant as of December 31, 2020. The Company and lenders executed the 2022 Solar Amendment in February 2022 that reduced the minimum trailing net revenue covenant requirement amounts beginning on December 31, 2021 to allow the Company to maintain compliance with the covenant as of December 31, 2021. As of December 31, 2021, the Company is in compliance with the financial covenant and is projected to be in compliance with the reduced minimum revenue covenant amounts going forward.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the Company is in compliance with all covenants in the Solar Facility.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Oxford Credit Facility</w:t>
      </w:r>
    </w:p>
    <w:p>
      <w:pPr>
        <w:spacing w:after="0" w:line="234"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w:t>
      </w:r>
    </w:p>
    <w:p>
      <w:pPr>
        <w:spacing w:after="0" w:line="4" w:lineRule="exact"/>
        <w:rPr>
          <w:sz w:val="20"/>
          <w:szCs w:val="20"/>
          <w:color w:val="auto"/>
        </w:rPr>
      </w:pPr>
    </w:p>
    <w:p>
      <w:pPr>
        <w:ind w:left="60" w:right="159" w:hanging="10"/>
        <w:spacing w:after="0" w:line="246" w:lineRule="auto"/>
        <w:tabs>
          <w:tab w:leader="none" w:pos="3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8.15% or (b) the 30 day U.S. LIBOR on the last business day of the month plus 7.38%. This facility featured an interest-only period on all tranches through March 2019.</w:t>
      </w:r>
    </w:p>
    <w:p>
      <w:pPr>
        <w:spacing w:after="0" w:line="197" w:lineRule="exact"/>
        <w:rPr>
          <w:sz w:val="20"/>
          <w:szCs w:val="20"/>
          <w:color w:val="auto"/>
        </w:rPr>
      </w:pPr>
    </w:p>
    <w:p>
      <w:pPr>
        <w:ind w:left="60" w:right="399"/>
        <w:spacing w:after="0" w:line="248" w:lineRule="auto"/>
        <w:rPr>
          <w:sz w:val="20"/>
          <w:szCs w:val="20"/>
          <w:color w:val="auto"/>
        </w:rPr>
      </w:pPr>
      <w:r>
        <w:rPr>
          <w:rFonts w:ascii="Arial" w:cs="Arial" w:eastAsia="Arial" w:hAnsi="Arial"/>
          <w:sz w:val="17"/>
          <w:szCs w:val="17"/>
          <w:color w:val="auto"/>
        </w:rPr>
        <w:t>In addition to principal and interest payments due under the $35.0 million Oxford credit facility, the Company was required to make final payment fees to Oxford upon the earlier of prepayment or maturity and equal to</w:t>
      </w:r>
    </w:p>
    <w:p>
      <w:pPr>
        <w:spacing w:after="0" w:line="1"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20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evaluated whether the Solar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 in March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76" w:lineRule="exact"/>
        <w:rPr>
          <w:sz w:val="20"/>
          <w:szCs w:val="20"/>
          <w:color w:val="auto"/>
        </w:rPr>
      </w:pPr>
    </w:p>
    <w:p>
      <w:pPr>
        <w:ind w:left="60" w:right="6299" w:hanging="10"/>
        <w:spacing w:after="0" w:line="527" w:lineRule="auto"/>
        <w:tabs>
          <w:tab w:leader="none" w:pos="4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 Offering</w:t>
      </w:r>
    </w:p>
    <w:p>
      <w:pPr>
        <w:spacing w:after="0" w:line="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February 2, 2021, the Company closed on their secondary public offering and sale (the “Offering) of their common stock in which the Company issued and sold 5,566,000 shares of our common stock, which included shares pursuant to an option granted to underwriters to purchase additional shares, at a public offering price of $15.50 per share. The Company received net proceeds of $80.6 million after deducting underwriting discounts, commissions and offering expenses.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3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Company’s amended and restated certificate of incorporation as of December 31, 2020 authorized the issuance of 200.0 million shares of common stock, $0.01 par value per share, of which 26.4 million were issued and outstanding as of December 31, 2021.</w:t>
      </w:r>
    </w:p>
    <w:p>
      <w:pPr>
        <w:spacing w:after="0" w:line="203"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December 31, 2021 and 2020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6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of common stock issued</w:t>
            </w: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26,395</w:t>
            </w:r>
          </w:p>
        </w:tc>
        <w:tc>
          <w:tcPr>
            <w:tcW w:w="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19,114</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Shares of common stock reserved for issuance for:</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Common stock warrants outstanding</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Stock options outstanding</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1,499</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2,365</w:t>
            </w: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Restricted stock units outstanding</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1,860</w:t>
            </w: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Shares available for grant under stock incentive plan</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2,037</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1,530</w:t>
            </w: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Shares available for sale under employee stock purchase plan</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r>
      <w:tr>
        <w:trPr>
          <w:trHeight w:val="196"/>
        </w:trPr>
        <w:tc>
          <w:tcPr>
            <w:tcW w:w="6020" w:type="dxa"/>
            <w:vAlign w:val="bottom"/>
          </w:tcPr>
          <w:p>
            <w:pPr>
              <w:ind w:left="220"/>
              <w:spacing w:after="0" w:line="196" w:lineRule="exact"/>
              <w:rPr>
                <w:sz w:val="20"/>
                <w:szCs w:val="20"/>
                <w:color w:val="auto"/>
              </w:rPr>
            </w:pPr>
            <w:r>
              <w:rPr>
                <w:rFonts w:ascii="Arial" w:cs="Arial" w:eastAsia="Arial" w:hAnsi="Arial"/>
                <w:sz w:val="18"/>
                <w:szCs w:val="18"/>
                <w:color w:val="auto"/>
              </w:rPr>
              <w:t>Total shares of common stock issued and reserved for issuance</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32,929</w:t>
            </w:r>
          </w:p>
        </w:tc>
        <w:tc>
          <w:tcPr>
            <w:tcW w:w="16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25,582</w:t>
            </w:r>
          </w:p>
        </w:tc>
      </w:tr>
      <w:tr>
        <w:trPr>
          <w:trHeight w:val="20"/>
        </w:trPr>
        <w:tc>
          <w:tcPr>
            <w:tcW w:w="60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Holders of common stock are entitled to receive any dividends that the Company’s board of directors may declare out of funds legally available for that purpose on a non-cumulative basis. The Company has never paid, and for the foreseeable future does not expect to pay, a dividend on its common stock.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34"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The following table summarizes the Company’s outstanding common stock warrants as of December 31, 2021 and 2020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920" w:type="dxa"/>
            <w:vAlign w:val="bottom"/>
          </w:tcPr>
          <w:p>
            <w:pPr>
              <w:spacing w:after="0"/>
              <w:rPr>
                <w:sz w:val="15"/>
                <w:szCs w:val="15"/>
                <w:color w:val="auto"/>
              </w:rPr>
            </w:pP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20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920" w:type="dxa"/>
            <w:vAlign w:val="bottom"/>
          </w:tcPr>
          <w:p>
            <w:pPr>
              <w:spacing w:after="0"/>
              <w:rPr>
                <w:sz w:val="17"/>
                <w:szCs w:val="17"/>
                <w:color w:val="auto"/>
              </w:rPr>
            </w:pPr>
          </w:p>
        </w:tc>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c>
          <w:tcPr>
            <w:tcW w:w="90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Aug-2023</w:t>
            </w:r>
          </w:p>
        </w:tc>
        <w:tc>
          <w:tcPr>
            <w:tcW w:w="90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Mar-2024</w:t>
            </w:r>
          </w:p>
        </w:tc>
        <w:tc>
          <w:tcPr>
            <w:tcW w:w="90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4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Dec-2024</w:t>
            </w: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85"/>
        </w:trPr>
        <w:tc>
          <w:tcPr>
            <w:tcW w:w="920" w:type="dxa"/>
            <w:vAlign w:val="bottom"/>
          </w:tcPr>
          <w:p>
            <w:pPr>
              <w:spacing w:after="0"/>
              <w:rPr>
                <w:sz w:val="24"/>
                <w:szCs w:val="24"/>
                <w:color w:val="auto"/>
              </w:rPr>
            </w:pPr>
          </w:p>
        </w:tc>
        <w:tc>
          <w:tcPr>
            <w:tcW w:w="4360" w:type="dxa"/>
            <w:vAlign w:val="bottom"/>
          </w:tcPr>
          <w:p>
            <w:pPr>
              <w:jc w:val="right"/>
              <w:ind w:right="556"/>
              <w:spacing w:after="0"/>
              <w:rPr>
                <w:sz w:val="20"/>
                <w:szCs w:val="20"/>
                <w:color w:val="auto"/>
              </w:rPr>
            </w:pPr>
            <w:r>
              <w:rPr>
                <w:rFonts w:ascii="Arial" w:cs="Arial" w:eastAsia="Arial" w:hAnsi="Arial"/>
                <w:sz w:val="18"/>
                <w:szCs w:val="18"/>
                <w:color w:val="auto"/>
              </w:rPr>
              <w:t>F-25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3"/>
        </w:trPr>
        <w:tc>
          <w:tcPr>
            <w:tcW w:w="9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9"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Feb-2021</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LOSS PER SHARE</w:t>
      </w:r>
    </w:p>
    <w:p>
      <w:pPr>
        <w:spacing w:after="0" w:line="234"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20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awards and non-vested performance restricted stock units using the treasury stock method, along with the effect, if any, from the potential conversion of outstanding securities, such as convertible preferred stock.</w:t>
      </w:r>
    </w:p>
    <w:p>
      <w:pPr>
        <w:spacing w:after="0" w:line="203" w:lineRule="exact"/>
        <w:rPr>
          <w:sz w:val="20"/>
          <w:szCs w:val="20"/>
          <w:color w:val="auto"/>
        </w:rPr>
      </w:pPr>
    </w:p>
    <w:p>
      <w:pPr>
        <w:ind w:left="60" w:right="379"/>
        <w:spacing w:after="0"/>
        <w:rPr>
          <w:sz w:val="20"/>
          <w:szCs w:val="20"/>
          <w:color w:val="auto"/>
        </w:rPr>
      </w:pPr>
      <w:r>
        <w:rPr>
          <w:rFonts w:ascii="Arial" w:cs="Arial" w:eastAsia="Arial" w:hAnsi="Arial"/>
          <w:sz w:val="18"/>
          <w:szCs w:val="18"/>
          <w:color w:val="auto"/>
        </w:rPr>
        <w:t>The following potentially dilutive securities outstanding as of December 31, 2021, 2020 and 2019 have been excluded from the denominator of the diluted loss per share of common stock outstanding calculation (in thousands):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r>
      <w:tr>
        <w:trPr>
          <w:trHeight w:val="155"/>
        </w:trPr>
        <w:tc>
          <w:tcPr>
            <w:tcW w:w="5960" w:type="dxa"/>
            <w:vAlign w:val="bottom"/>
          </w:tcPr>
          <w:p>
            <w:pPr>
              <w:spacing w:after="0"/>
              <w:rPr>
                <w:sz w:val="13"/>
                <w:szCs w:val="13"/>
                <w:color w:val="auto"/>
              </w:rPr>
            </w:pPr>
          </w:p>
        </w:tc>
        <w:tc>
          <w:tcPr>
            <w:tcW w:w="86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86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2,365</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2,415</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Non-vested performance restricted stock units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8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units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Common stock warrants</w:t>
            </w: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SHARE-BASED COMPENSATION</w:t>
      </w:r>
    </w:p>
    <w:p>
      <w:pPr>
        <w:spacing w:after="0" w:line="234"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years ended December 31, 2021, 2020 and 2019 is as follows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24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196"/>
        </w:trPr>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revenues</w:t>
            </w:r>
          </w:p>
        </w:tc>
        <w:tc>
          <w:tcPr>
            <w:tcW w:w="24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2,096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1,813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1,339</w:t>
            </w:r>
          </w:p>
        </w:tc>
        <w:tc>
          <w:tcPr>
            <w:tcW w:w="20" w:type="dxa"/>
            <w:vAlign w:val="bottom"/>
          </w:tcPr>
          <w:p>
            <w:pPr>
              <w:spacing w:after="0"/>
              <w:rPr>
                <w:sz w:val="17"/>
                <w:szCs w:val="17"/>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1,596</w:t>
            </w:r>
          </w:p>
        </w:tc>
        <w:tc>
          <w:tcPr>
            <w:tcW w:w="20" w:type="dxa"/>
            <w:vAlign w:val="bottom"/>
          </w:tcPr>
          <w:p>
            <w:pPr>
              <w:spacing w:after="0"/>
              <w:rPr>
                <w:sz w:val="17"/>
                <w:szCs w:val="17"/>
                <w:color w:val="auto"/>
              </w:rPr>
            </w:pPr>
          </w:p>
        </w:tc>
      </w:tr>
      <w:tr>
        <w:trPr>
          <w:trHeight w:val="203"/>
        </w:trPr>
        <w:tc>
          <w:tcPr>
            <w:tcW w:w="32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w:t>
            </w:r>
          </w:p>
        </w:tc>
        <w:tc>
          <w:tcPr>
            <w:tcW w:w="20" w:type="dxa"/>
            <w:vAlign w:val="bottom"/>
          </w:tcPr>
          <w:p>
            <w:pPr>
              <w:spacing w:after="0"/>
              <w:rPr>
                <w:sz w:val="17"/>
                <w:szCs w:val="17"/>
                <w:color w:val="auto"/>
              </w:rPr>
            </w:pPr>
          </w:p>
        </w:tc>
      </w:tr>
      <w:tr>
        <w:trPr>
          <w:trHeight w:val="196"/>
        </w:trPr>
        <w:tc>
          <w:tcPr>
            <w:tcW w:w="32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2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4,404</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3,434</w:t>
            </w:r>
          </w:p>
        </w:tc>
        <w:tc>
          <w:tcPr>
            <w:tcW w:w="2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240" w:type="dxa"/>
            <w:vAlign w:val="bottom"/>
          </w:tcPr>
          <w:p>
            <w:pPr>
              <w:spacing w:after="0"/>
              <w:rPr>
                <w:sz w:val="24"/>
                <w:szCs w:val="24"/>
                <w:color w:val="auto"/>
              </w:rPr>
            </w:pPr>
          </w:p>
        </w:tc>
        <w:tc>
          <w:tcPr>
            <w:tcW w:w="2680" w:type="dxa"/>
            <w:vAlign w:val="bottom"/>
            <w:gridSpan w:val="2"/>
          </w:tcPr>
          <w:p>
            <w:pPr>
              <w:jc w:val="right"/>
              <w:ind w:right="1190"/>
              <w:spacing w:after="0"/>
              <w:rPr>
                <w:sz w:val="20"/>
                <w:szCs w:val="20"/>
                <w:color w:val="auto"/>
              </w:rPr>
            </w:pPr>
            <w:r>
              <w:rPr>
                <w:rFonts w:ascii="Arial" w:cs="Arial" w:eastAsia="Arial" w:hAnsi="Arial"/>
                <w:sz w:val="18"/>
                <w:szCs w:val="18"/>
                <w:color w:val="auto"/>
              </w:rPr>
              <w:t>F-26</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3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Equity Incentive Plan</w:t>
      </w:r>
    </w:p>
    <w:p>
      <w:pPr>
        <w:spacing w:after="0" w:line="234"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Performance restricted stock units (“PRSUs”) generally vest based on appreciation of the Company’s common stock to a certain price as determined by the Company’s board of directors measured using a trailing 30-day volume weighted average price of a share of the Company’s common stock. The fair value of the PRSU awards are determined using a risk neutral Monte Carlo simulation valuation model. As of December 31, 2021, there were 1.9 million shares available for future issuance under the 2018 Plan.</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Inducement Incentive Plan</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December 2020, the Company adopted the 2020 Inducement Incentive Plan, which authorized the issuance of up to 400,000 shares in the form of stock options, stock appreciation rights, restricted stock awards, restricted stock unit awards, performance stock awards and other stock awards to eligible employees who satisfy the standards for inducement grants under Nasdaq global market rules. An individual who previously served as an employee or director of the Company is not eligible to receive awards under this plan. The amount and terms of grants are determined by the Company’s board of directors. As of December 31, 2021, there were 0.1 million shares available for future issuance under the 2020 Inducement Incentive 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34"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The following table summarizes the Company’s stock option activity for the years ended December 31, 2021, 2020 and 2019:</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 under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 Price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Option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Life (in years)</w:t>
            </w:r>
          </w:p>
        </w:tc>
        <w:tc>
          <w:tcPr>
            <w:tcW w:w="16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2018</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14.27</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8.33</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1,028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2.01</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10.76</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14.32</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Exercisable at December 31, 2021</w:t>
            </w: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747</w:t>
            </w:r>
          </w:p>
        </w:tc>
        <w:tc>
          <w:tcPr>
            <w:tcW w:w="300" w:type="dxa"/>
            <w:vAlign w:val="bottom"/>
            <w:tcBorders>
              <w:bottom w:val="single" w:sz="8" w:color="CCEEFF"/>
            </w:tcBorders>
            <w:gridSpan w:val="2"/>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CCEEFF"/>
            </w:tcBorders>
            <w:gridSpan w:val="2"/>
            <w:vMerge w:val="continue"/>
          </w:tcPr>
          <w:p>
            <w:pPr>
              <w:spacing w:after="0"/>
              <w:rPr>
                <w:sz w:val="15"/>
                <w:szCs w:val="15"/>
                <w:color w:val="auto"/>
              </w:rPr>
            </w:pPr>
          </w:p>
        </w:tc>
        <w:tc>
          <w:tcPr>
            <w:tcW w:w="9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December 31, 2021</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recognized share-based compensation expense related to stock options of $0.8 million, $1.7</w:t>
      </w:r>
    </w:p>
    <w:p>
      <w:pPr>
        <w:ind w:left="60"/>
        <w:spacing w:after="0" w:line="234" w:lineRule="auto"/>
        <w:rPr>
          <w:sz w:val="20"/>
          <w:szCs w:val="20"/>
          <w:color w:val="auto"/>
        </w:rPr>
      </w:pPr>
      <w:r>
        <w:rPr>
          <w:rFonts w:ascii="Arial" w:cs="Arial" w:eastAsia="Arial" w:hAnsi="Arial"/>
          <w:sz w:val="18"/>
          <w:szCs w:val="18"/>
          <w:color w:val="auto"/>
        </w:rPr>
        <w:t>million and $2.2 million for the years ended December 31, 2021, 2020 and 2019, respectively. As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2021, there was $1.3 million of total unrecognized compensation cost related to non-vested stock</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options which the Company expects to recognize over a weighted-average period of 2.0 years. The weighted-</w:t>
      </w:r>
    </w:p>
    <w:p>
      <w:pPr>
        <w:ind w:left="60"/>
        <w:spacing w:after="0" w:line="234" w:lineRule="auto"/>
        <w:rPr>
          <w:sz w:val="20"/>
          <w:szCs w:val="20"/>
          <w:color w:val="auto"/>
        </w:rPr>
      </w:pPr>
      <w:r>
        <w:rPr>
          <w:rFonts w:ascii="Arial" w:cs="Arial" w:eastAsia="Arial" w:hAnsi="Arial"/>
          <w:sz w:val="18"/>
          <w:szCs w:val="18"/>
          <w:color w:val="auto"/>
        </w:rPr>
        <w:t>average grant-date fair value of stock options granted during the years ended December 31, 2020 and 2019</w:t>
      </w:r>
    </w:p>
    <w:p>
      <w:pPr>
        <w:ind w:left="60"/>
        <w:spacing w:after="0" w:line="235" w:lineRule="auto"/>
        <w:rPr>
          <w:sz w:val="20"/>
          <w:szCs w:val="20"/>
          <w:color w:val="auto"/>
        </w:rPr>
      </w:pPr>
      <w:r>
        <w:rPr>
          <w:rFonts w:ascii="Arial" w:cs="Arial" w:eastAsia="Arial" w:hAnsi="Arial"/>
          <w:sz w:val="18"/>
          <w:szCs w:val="18"/>
          <w:color w:val="auto"/>
        </w:rPr>
        <w:t>was estimated at $1.09, and $7.69 per option. The Company did not grant options during the year ended</w:t>
      </w:r>
    </w:p>
    <w:p>
      <w:pPr>
        <w:ind w:left="60"/>
        <w:spacing w:after="0" w:line="235" w:lineRule="auto"/>
        <w:rPr>
          <w:sz w:val="20"/>
          <w:szCs w:val="20"/>
          <w:color w:val="auto"/>
        </w:rPr>
      </w:pPr>
      <w:r>
        <w:rPr>
          <w:rFonts w:ascii="Arial" w:cs="Arial" w:eastAsia="Arial" w:hAnsi="Arial"/>
          <w:sz w:val="18"/>
          <w:szCs w:val="18"/>
          <w:color w:val="auto"/>
        </w:rPr>
        <w:t>December 31, 2021. The total intrinsic value of stock options exercised during the years ended December 31,</w:t>
      </w:r>
    </w:p>
    <w:p>
      <w:pPr>
        <w:ind w:left="60"/>
        <w:spacing w:after="0"/>
        <w:rPr>
          <w:sz w:val="20"/>
          <w:szCs w:val="20"/>
          <w:color w:val="auto"/>
        </w:rPr>
      </w:pPr>
      <w:r>
        <w:rPr>
          <w:rFonts w:ascii="Arial" w:cs="Arial" w:eastAsia="Arial" w:hAnsi="Arial"/>
          <w:sz w:val="18"/>
          <w:szCs w:val="18"/>
          <w:color w:val="auto"/>
        </w:rPr>
        <w:t>2021, 2020 and 2019 was $8.2 million, $1.4 million, and $10.8 million, respectively.</w:t>
      </w:r>
    </w:p>
    <w:p>
      <w:pPr>
        <w:spacing w:after="0" w:line="212" w:lineRule="exact"/>
        <w:rPr>
          <w:sz w:val="20"/>
          <w:szCs w:val="20"/>
          <w:color w:val="auto"/>
        </w:rPr>
      </w:pPr>
    </w:p>
    <w:p>
      <w:pPr>
        <w:jc w:val="both"/>
        <w:ind w:left="60" w:right="539"/>
        <w:spacing w:after="0" w:line="261" w:lineRule="auto"/>
        <w:rPr>
          <w:sz w:val="20"/>
          <w:szCs w:val="20"/>
          <w:color w:val="auto"/>
        </w:rPr>
      </w:pPr>
      <w:r>
        <w:rPr>
          <w:rFonts w:ascii="Arial" w:cs="Arial" w:eastAsia="Arial" w:hAnsi="Arial"/>
          <w:sz w:val="17"/>
          <w:szCs w:val="17"/>
          <w:color w:val="auto"/>
        </w:rPr>
        <w:t>The Company did not grant stock options during the year ended December 31, 2021. For the years ended December 31, 2020 and 2019, the grant-date fair value of stock options was estimated at the time of grant using the following weighted-average inputs and assumptions in the Black-Scholes option pricing model:</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4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Estimated fair value of common stock</w:t>
            </w:r>
          </w:p>
        </w:tc>
        <w:tc>
          <w:tcPr>
            <w:tcW w:w="30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14.27</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Exercise price</w:t>
            </w:r>
          </w:p>
        </w:tc>
        <w:tc>
          <w:tcPr>
            <w:tcW w:w="32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3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0.4 %</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2.2 %</w:t>
            </w:r>
          </w:p>
        </w:tc>
        <w:tc>
          <w:tcPr>
            <w:tcW w:w="20" w:type="dxa"/>
            <w:vAlign w:val="bottom"/>
          </w:tcPr>
          <w:p>
            <w:pPr>
              <w:spacing w:after="0"/>
              <w:rPr>
                <w:sz w:val="17"/>
                <w:szCs w:val="17"/>
                <w:color w:val="auto"/>
              </w:rPr>
            </w:pPr>
          </w:p>
        </w:tc>
      </w:tr>
      <w:tr>
        <w:trPr>
          <w:trHeight w:val="203"/>
        </w:trPr>
        <w:tc>
          <w:tcPr>
            <w:tcW w:w="3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59.5 %</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55.3 %</w:t>
            </w:r>
          </w:p>
        </w:tc>
        <w:tc>
          <w:tcPr>
            <w:tcW w:w="20" w:type="dxa"/>
            <w:vAlign w:val="bottom"/>
          </w:tcPr>
          <w:p>
            <w:pPr>
              <w:spacing w:after="0"/>
              <w:rPr>
                <w:sz w:val="17"/>
                <w:szCs w:val="17"/>
                <w:color w:val="auto"/>
              </w:rPr>
            </w:pPr>
          </w:p>
        </w:tc>
      </w:tr>
      <w:tr>
        <w:trPr>
          <w:trHeight w:val="217"/>
        </w:trPr>
        <w:tc>
          <w:tcPr>
            <w:tcW w:w="3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836"/>
        </w:trPr>
        <w:tc>
          <w:tcPr>
            <w:tcW w:w="3640" w:type="dxa"/>
            <w:vAlign w:val="bottom"/>
          </w:tcPr>
          <w:p>
            <w:pPr>
              <w:spacing w:after="0"/>
              <w:rPr>
                <w:sz w:val="24"/>
                <w:szCs w:val="24"/>
                <w:color w:val="auto"/>
              </w:rPr>
            </w:pPr>
          </w:p>
        </w:tc>
        <w:tc>
          <w:tcPr>
            <w:tcW w:w="3200" w:type="dxa"/>
            <w:vAlign w:val="bottom"/>
            <w:gridSpan w:val="2"/>
          </w:tcPr>
          <w:p>
            <w:pPr>
              <w:jc w:val="right"/>
              <w:ind w:right="2110"/>
              <w:spacing w:after="0"/>
              <w:rPr>
                <w:sz w:val="20"/>
                <w:szCs w:val="20"/>
                <w:color w:val="auto"/>
              </w:rPr>
            </w:pPr>
            <w:r>
              <w:rPr>
                <w:rFonts w:ascii="Arial" w:cs="Arial" w:eastAsia="Arial" w:hAnsi="Arial"/>
                <w:sz w:val="18"/>
                <w:szCs w:val="18"/>
                <w:color w:val="auto"/>
              </w:rPr>
              <w:t>F-28</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3"/>
        </w:trPr>
        <w:tc>
          <w:tcPr>
            <w:tcW w:w="36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234"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The following table summarizes the Company’s restricted stock award, restricted stock unit and performance restricted stock unit activity for the years ended December 31, 2021, 2020 and 2019:</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Non-vested</w:t>
            </w:r>
          </w:p>
        </w:tc>
        <w:tc>
          <w:tcPr>
            <w:tcW w:w="2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Non-vested</w:t>
            </w:r>
          </w:p>
        </w:tc>
        <w:tc>
          <w:tcPr>
            <w:tcW w:w="1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Non-vested</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0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Restricted</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Performance</w:t>
            </w:r>
          </w:p>
        </w:tc>
        <w:tc>
          <w:tcPr>
            <w:tcW w:w="2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23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8"/>
              </w:rPr>
              <w:t>Grant-date</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 Units</w:t>
            </w:r>
          </w:p>
        </w:tc>
        <w:tc>
          <w:tcPr>
            <w:tcW w:w="1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Grant-date</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 Units</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(in thousands)</w:t>
            </w:r>
          </w:p>
        </w:tc>
        <w:tc>
          <w:tcPr>
            <w:tcW w:w="18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at</w:t>
            </w: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December 31, 2018</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2.32</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25.21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38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13.89</w:t>
            </w:r>
          </w:p>
        </w:tc>
        <w:tc>
          <w:tcPr>
            <w:tcW w:w="180" w:type="dxa"/>
            <w:vAlign w:val="bottom"/>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15.57</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at</w:t>
            </w: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December 31, 2019</w:t>
            </w:r>
          </w:p>
        </w:tc>
        <w:tc>
          <w:tcPr>
            <w:tcW w:w="10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15.23</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38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3.18</w:t>
            </w:r>
          </w:p>
        </w:tc>
        <w:tc>
          <w:tcPr>
            <w:tcW w:w="180" w:type="dxa"/>
            <w:vAlign w:val="bottom"/>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(594)</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at</w:t>
            </w: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December 31, 2020</w:t>
            </w:r>
          </w:p>
        </w:tc>
        <w:tc>
          <w:tcPr>
            <w:tcW w:w="10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96"/>
        </w:trPr>
        <w:tc>
          <w:tcPr>
            <w:tcW w:w="238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11.51</w:t>
            </w:r>
          </w:p>
        </w:tc>
        <w:tc>
          <w:tcPr>
            <w:tcW w:w="180" w:type="dxa"/>
            <w:vAlign w:val="bottom"/>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7.86</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Non-vested at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December 31, 2021</w:t>
            </w:r>
          </w:p>
        </w:tc>
        <w:tc>
          <w:tcPr>
            <w:tcW w:w="10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Company recognized share-based compensation expense related to restricted stock awards, restricted stock units and performance restricted stock units of $7.1 million, $2.7 million, and $ 1.2 million during the years ended December 31, 2021, 2020 and 2019, respectively. As of December 31, 2021, there was $9.3 million of unrecognized compensation cost related to non-vested restricted stock units and performance restricted stock units that the Company expects to recognize over a weighted-average period of 2.1 years. The total fair value at the vesting date of restricted stock awards, restricted stock units and performance restricted stock units vested during the years ended December 31, 2021, 2020 and 2019 was $14.1 million, $0.3 million, and $0.3 million, respectively.</w:t>
      </w:r>
    </w:p>
    <w:p>
      <w:pPr>
        <w:spacing w:after="0" w:line="208" w:lineRule="exact"/>
        <w:rPr>
          <w:sz w:val="20"/>
          <w:szCs w:val="20"/>
          <w:color w:val="auto"/>
        </w:rPr>
      </w:pPr>
    </w:p>
    <w:p>
      <w:pPr>
        <w:ind w:left="100" w:right="559"/>
        <w:spacing w:after="0"/>
        <w:rPr>
          <w:sz w:val="20"/>
          <w:szCs w:val="20"/>
          <w:color w:val="auto"/>
        </w:rPr>
      </w:pPr>
      <w:r>
        <w:rPr>
          <w:rFonts w:ascii="Arial" w:cs="Arial" w:eastAsia="Arial" w:hAnsi="Arial"/>
          <w:sz w:val="18"/>
          <w:szCs w:val="18"/>
          <w:color w:val="auto"/>
        </w:rPr>
        <w:t>For the years ended December 31, 2021, 2020 and 2019, the grant-date fair value of the performance restricted stock units was estimated at the time of grant using the following inputs and assumptions in the Monte Carlo simulation valuation model:</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Closing price of common stock</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15.92</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color w:val="auto"/>
              </w:rPr>
              <w:t>1.98</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1.15 %</w:t>
            </w:r>
          </w:p>
        </w:tc>
        <w:tc>
          <w:tcPr>
            <w:tcW w:w="28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0.63 %</w:t>
            </w:r>
          </w:p>
        </w:tc>
        <w:tc>
          <w:tcPr>
            <w:tcW w:w="280" w:type="dxa"/>
            <w:vAlign w:val="bottom"/>
          </w:tcPr>
          <w:p>
            <w:pPr>
              <w:spacing w:after="0"/>
              <w:rPr>
                <w:sz w:val="18"/>
                <w:szCs w:val="18"/>
                <w:color w:val="auto"/>
              </w:rPr>
            </w:pP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 %</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99.7 %</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87.4 %</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r>
    </w:tbl>
    <w:p>
      <w:pPr>
        <w:spacing w:after="0" w:line="193" w:lineRule="exact"/>
        <w:rPr>
          <w:sz w:val="20"/>
          <w:szCs w:val="20"/>
          <w:color w:val="auto"/>
        </w:rPr>
      </w:pPr>
    </w:p>
    <w:p>
      <w:pPr>
        <w:ind w:left="60" w:right="6099" w:hanging="10"/>
        <w:spacing w:after="0" w:line="527" w:lineRule="auto"/>
        <w:tabs>
          <w:tab w:leader="none" w:pos="4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 Defined Contribution Plan</w:t>
      </w:r>
    </w:p>
    <w:p>
      <w:pPr>
        <w:spacing w:after="0" w:line="1" w:lineRule="exact"/>
        <w:rPr>
          <w:sz w:val="20"/>
          <w:szCs w:val="20"/>
          <w:color w:val="auto"/>
        </w:rPr>
      </w:pPr>
    </w:p>
    <w:p>
      <w:pPr>
        <w:ind w:left="60" w:right="719"/>
        <w:spacing w:after="0" w:line="274" w:lineRule="auto"/>
        <w:rPr>
          <w:sz w:val="20"/>
          <w:szCs w:val="20"/>
          <w:color w:val="auto"/>
        </w:rPr>
      </w:pPr>
      <w:r>
        <w:rPr>
          <w:rFonts w:ascii="Arial" w:cs="Arial" w:eastAsia="Arial" w:hAnsi="Arial"/>
          <w:sz w:val="17"/>
          <w:szCs w:val="17"/>
          <w:color w:val="auto"/>
        </w:rPr>
        <w:t>The Company maintains a 401(k) defined contribution retirement plan which covers all of its employees. Employees are eligible to participate on the first of the month following their date of hire. Under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auto"/>
        </w:rPr>
        <w:t>401(k) plan, participating employees may defer up to 100% of their pre-tax salary but not more than statutory limits. As of December 31, 2021, the Company contributes 3% of employee salary to the participant’s defined contribution plan, which vests immediately. Employee contributions also vest immediately.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Employee Stock Purchase Plan</w:t>
      </w:r>
    </w:p>
    <w:p>
      <w:pPr>
        <w:spacing w:after="0" w:line="23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In July 2018, the Company adopted the 2018 Employee Stock Purchase Plan, or 2018 ESPP, with an initial 0.2 million share reserve, subject to automatic annual increases on January 1st of each year for a period of up to ten years, as defined in the plan document. The purpose of the 2018 ESPP is to enhance employee interest in the success and progress of the Company by encouraging employee ownership of common stock of the Company. The 2018 ESPP provides the opportunity to purchase the Company’s common stock at a 15% discount to the market price through payroll deductions or lump sum cash investments. As of December 31, 2021, the Company had not yet approved any offering under the plan and 0.8 million shares were reserved for issuance.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TAXES</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loss before income taxes was $31.2 million, $27.5 million, and $ 29.0 million for the years ended December 31, 2021, 2020 and 2019, respectively, and was generated entirely in the United States. The Company did not record current or deferred income tax expense or benefit during the years ended December 31, 2021, 2020 and 2019.</w:t>
      </w:r>
    </w:p>
    <w:p>
      <w:pPr>
        <w:spacing w:after="0" w:line="205"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A reconciliation of the statutory United States federal income tax rate to the Company’s effective tax rate is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900" w:type="dxa"/>
            <w:vAlign w:val="bottom"/>
            <w:gridSpan w:val="7"/>
          </w:tcPr>
          <w:p>
            <w:pPr>
              <w:ind w:left="320"/>
              <w:spacing w:after="0"/>
              <w:rPr>
                <w:sz w:val="20"/>
                <w:szCs w:val="20"/>
                <w:color w:val="auto"/>
              </w:rPr>
            </w:pPr>
            <w:r>
              <w:rPr>
                <w:rFonts w:ascii="Arial" w:cs="Arial" w:eastAsia="Arial" w:hAnsi="Arial"/>
                <w:sz w:val="14"/>
                <w:szCs w:val="14"/>
                <w:b w:val="1"/>
                <w:bCs w:val="1"/>
                <w:color w:val="auto"/>
              </w:rPr>
              <w:t>Tax Year ended December 31,</w:t>
            </w:r>
          </w:p>
        </w:tc>
      </w:tr>
      <w:tr>
        <w:trPr>
          <w:trHeight w:val="156"/>
        </w:trPr>
        <w:tc>
          <w:tcPr>
            <w:tcW w:w="386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3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 federal statutory income tax rate</w:t>
            </w:r>
          </w:p>
        </w:tc>
        <w:tc>
          <w:tcPr>
            <w:tcW w:w="2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State and local taxes, net of federal benefit</w:t>
            </w:r>
          </w:p>
        </w:tc>
        <w:tc>
          <w:tcPr>
            <w:tcW w:w="316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5.5 %</w:t>
            </w: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3.5 %</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4.4 %</w:t>
            </w:r>
          </w:p>
        </w:tc>
        <w:tc>
          <w:tcPr>
            <w:tcW w:w="20" w:type="dxa"/>
            <w:vAlign w:val="bottom"/>
          </w:tcPr>
          <w:p>
            <w:pPr>
              <w:spacing w:after="0"/>
              <w:rPr>
                <w:sz w:val="17"/>
                <w:szCs w:val="17"/>
                <w:color w:val="auto"/>
              </w:rPr>
            </w:pPr>
          </w:p>
        </w:tc>
      </w:tr>
      <w:tr>
        <w:trPr>
          <w:trHeight w:val="203"/>
        </w:trPr>
        <w:tc>
          <w:tcPr>
            <w:tcW w:w="3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Nondeductible expenses</w:t>
            </w:r>
          </w:p>
        </w:tc>
        <w:tc>
          <w:tcPr>
            <w:tcW w:w="316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10.6 %</w:t>
            </w:r>
          </w:p>
        </w:tc>
        <w:tc>
          <w:tcPr>
            <w:tcW w:w="10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(0.8)%</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6.4 %</w:t>
            </w:r>
          </w:p>
        </w:tc>
        <w:tc>
          <w:tcPr>
            <w:tcW w:w="20" w:type="dxa"/>
            <w:vAlign w:val="bottom"/>
          </w:tcPr>
          <w:p>
            <w:pPr>
              <w:spacing w:after="0"/>
              <w:rPr>
                <w:sz w:val="17"/>
                <w:szCs w:val="17"/>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216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 %</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r>
      <w:tr>
        <w:trPr>
          <w:trHeight w:val="203"/>
        </w:trPr>
        <w:tc>
          <w:tcPr>
            <w:tcW w:w="3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 rate change and true-up</w:t>
            </w:r>
          </w:p>
        </w:tc>
        <w:tc>
          <w:tcPr>
            <w:tcW w:w="316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0.8 %</w:t>
            </w:r>
          </w:p>
        </w:tc>
        <w:tc>
          <w:tcPr>
            <w:tcW w:w="10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0" w:type="dxa"/>
            <w:vAlign w:val="bottom"/>
          </w:tcPr>
          <w:p>
            <w:pPr>
              <w:spacing w:after="0"/>
              <w:rPr>
                <w:sz w:val="17"/>
                <w:szCs w:val="17"/>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316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(37.9)%</w:t>
            </w: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(22.1)%</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r>
      <w:tr>
        <w:trPr>
          <w:trHeight w:val="196"/>
        </w:trPr>
        <w:tc>
          <w:tcPr>
            <w:tcW w:w="38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Effective income tax rate</w:t>
            </w:r>
          </w:p>
        </w:tc>
        <w:tc>
          <w:tcPr>
            <w:tcW w:w="2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860" w:type="dxa"/>
            <w:vAlign w:val="bottom"/>
          </w:tcPr>
          <w:p>
            <w:pPr>
              <w:spacing w:after="0"/>
              <w:rPr>
                <w:sz w:val="24"/>
                <w:szCs w:val="24"/>
                <w:color w:val="auto"/>
              </w:rPr>
            </w:pPr>
          </w:p>
        </w:tc>
        <w:tc>
          <w:tcPr>
            <w:tcW w:w="3160" w:type="dxa"/>
            <w:vAlign w:val="bottom"/>
            <w:gridSpan w:val="3"/>
          </w:tcPr>
          <w:p>
            <w:pPr>
              <w:jc w:val="right"/>
              <w:ind w:right="2290"/>
              <w:spacing w:after="0"/>
              <w:rPr>
                <w:sz w:val="20"/>
                <w:szCs w:val="20"/>
                <w:color w:val="auto"/>
              </w:rPr>
            </w:pPr>
            <w:r>
              <w:rPr>
                <w:rFonts w:ascii="Arial" w:cs="Arial" w:eastAsia="Arial" w:hAnsi="Arial"/>
                <w:sz w:val="18"/>
                <w:szCs w:val="18"/>
                <w:color w:val="auto"/>
              </w:rPr>
              <w:t>F-30</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3"/>
        </w:trPr>
        <w:tc>
          <w:tcPr>
            <w:tcW w:w="38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were as follows (in thousands):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CCEEFF"/>
            </w:tcBorders>
          </w:tcPr>
          <w:p>
            <w:pPr>
              <w:spacing w:after="0"/>
              <w:rPr>
                <w:sz w:val="13"/>
                <w:szCs w:val="13"/>
                <w:color w:val="auto"/>
              </w:rPr>
            </w:pPr>
          </w:p>
        </w:tc>
        <w:tc>
          <w:tcPr>
            <w:tcW w:w="20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Net operating loss carryforwards</w:t>
            </w:r>
          </w:p>
        </w:tc>
        <w:tc>
          <w:tcPr>
            <w:tcW w:w="2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72,620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61,387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 credits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Share-based compensation</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Accruals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Lease Liability</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Capitalized start-up costs</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temporary differences</w:t>
            </w:r>
          </w:p>
        </w:tc>
        <w:tc>
          <w:tcPr>
            <w:tcW w:w="20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Pr>
          <w:p>
            <w:pPr>
              <w:ind w:left="200"/>
              <w:spacing w:after="0" w:line="196" w:lineRule="exact"/>
              <w:rPr>
                <w:sz w:val="20"/>
                <w:szCs w:val="20"/>
                <w:color w:val="auto"/>
              </w:rPr>
            </w:pPr>
            <w:r>
              <w:rPr>
                <w:rFonts w:ascii="Arial" w:cs="Arial" w:eastAsia="Arial" w:hAnsi="Arial"/>
                <w:sz w:val="18"/>
                <w:szCs w:val="18"/>
                <w:color w:val="auto"/>
              </w:rPr>
              <w:t>Gross deferred tax assets</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84,386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71,559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Valuation allowance</w:t>
            </w:r>
          </w:p>
        </w:tc>
        <w:tc>
          <w:tcPr>
            <w:tcW w:w="20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(80,663)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(68,856)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tcBorders>
              <w:bottom w:val="single" w:sz="8" w:color="CCEEFF"/>
            </w:tcBorders>
          </w:tcPr>
          <w:p>
            <w:pPr>
              <w:ind w:left="300"/>
              <w:spacing w:after="0" w:line="196" w:lineRule="exact"/>
              <w:rPr>
                <w:sz w:val="20"/>
                <w:szCs w:val="20"/>
                <w:color w:val="auto"/>
              </w:rPr>
            </w:pPr>
            <w:r>
              <w:rPr>
                <w:rFonts w:ascii="Arial" w:cs="Arial" w:eastAsia="Arial" w:hAnsi="Arial"/>
                <w:sz w:val="18"/>
                <w:szCs w:val="18"/>
                <w:color w:val="auto"/>
              </w:rPr>
              <w:t>Total deferred tax assets</w:t>
            </w:r>
          </w:p>
        </w:tc>
        <w:tc>
          <w:tcPr>
            <w:tcW w:w="20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Capitalized software</w:t>
            </w:r>
          </w:p>
        </w:tc>
        <w:tc>
          <w:tcPr>
            <w:tcW w:w="2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Right-of-use asset</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Prepaid commission</w:t>
            </w:r>
          </w:p>
        </w:tc>
        <w:tc>
          <w:tcPr>
            <w:tcW w:w="20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Gross deferred tax liabilities</w:t>
            </w:r>
          </w:p>
        </w:tc>
        <w:tc>
          <w:tcPr>
            <w:tcW w:w="2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taxes</w:t>
            </w:r>
          </w:p>
        </w:tc>
        <w:tc>
          <w:tcPr>
            <w:tcW w:w="2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The Company believes that it is more likely than not that the Company’s deferred income tax asset associated with its net operating losses will not be realized in the immediate future. As such, there is a full valuation allowance against the net deferred tax assets as of December 31, 2021 and 2020. The valuation allowance increased by $11.8 million and $6.1 million during the years ended December 31, 2021 and 2020, respectively, due primarily to the generation of net operating losses during the periods. The changes in the valuation allowance were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840" w:type="dxa"/>
            <w:vAlign w:val="bottom"/>
            <w:tcBorders>
              <w:bottom w:val="single" w:sz="8" w:color="CCEEFF"/>
            </w:tcBorders>
          </w:tcPr>
          <w:p>
            <w:pPr>
              <w:spacing w:after="0"/>
              <w:rPr>
                <w:sz w:val="13"/>
                <w:szCs w:val="13"/>
                <w:color w:val="auto"/>
              </w:rPr>
            </w:pPr>
          </w:p>
        </w:tc>
        <w:tc>
          <w:tcPr>
            <w:tcW w:w="19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the beginning of the year</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68,856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62,805</w:t>
            </w:r>
          </w:p>
        </w:tc>
      </w:tr>
      <w:tr>
        <w:trPr>
          <w:trHeight w:val="203"/>
        </w:trPr>
        <w:tc>
          <w:tcPr>
            <w:tcW w:w="4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Amounts charged to expense</w:t>
            </w:r>
          </w:p>
        </w:tc>
        <w:tc>
          <w:tcPr>
            <w:tcW w:w="19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11,807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6,051</w:t>
            </w:r>
          </w:p>
        </w:tc>
      </w:tr>
      <w:tr>
        <w:trPr>
          <w:trHeight w:val="196"/>
        </w:trPr>
        <w:tc>
          <w:tcPr>
            <w:tcW w:w="4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the end of the year</w:t>
            </w:r>
          </w:p>
        </w:tc>
        <w:tc>
          <w:tcPr>
            <w:tcW w:w="1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80,663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68,856</w:t>
            </w:r>
          </w:p>
        </w:tc>
      </w:tr>
      <w:tr>
        <w:trPr>
          <w:trHeight w:val="20"/>
        </w:trPr>
        <w:tc>
          <w:tcPr>
            <w:tcW w:w="4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carryforwards of federal net operating losses and tax credits as of</w:t>
      </w:r>
    </w:p>
    <w:p>
      <w:pPr>
        <w:ind w:left="60"/>
        <w:spacing w:after="0"/>
        <w:rPr>
          <w:sz w:val="20"/>
          <w:szCs w:val="20"/>
          <w:color w:val="auto"/>
        </w:rPr>
      </w:pPr>
      <w:r>
        <w:rPr>
          <w:rFonts w:ascii="Arial" w:cs="Arial" w:eastAsia="Arial" w:hAnsi="Arial"/>
          <w:sz w:val="18"/>
          <w:szCs w:val="18"/>
          <w:color w:val="auto"/>
        </w:rPr>
        <w:t>December 31, 2021 (in thousands):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Arial" w:cs="Arial" w:eastAsia="Arial" w:hAnsi="Arial"/>
                <w:sz w:val="14"/>
                <w:szCs w:val="14"/>
                <w:b w:val="1"/>
                <w:bCs w:val="1"/>
                <w:color w:val="auto"/>
              </w:rPr>
              <w:t>Expiration</w:t>
            </w:r>
          </w:p>
        </w:tc>
      </w:tr>
      <w:tr>
        <w:trPr>
          <w:trHeight w:val="175"/>
        </w:trPr>
        <w:tc>
          <w:tcPr>
            <w:tcW w:w="4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Beginning in</w:t>
            </w: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 net operating losses</w:t>
            </w:r>
          </w:p>
        </w:tc>
        <w:tc>
          <w:tcPr>
            <w:tcW w:w="2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293,032</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2023</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State net operating losses</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179,710</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2022</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credits</w:t>
            </w: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2023</w:t>
            </w:r>
          </w:p>
        </w:tc>
      </w:tr>
    </w:tbl>
    <w:p>
      <w:pPr>
        <w:spacing w:after="0" w:line="202" w:lineRule="exact"/>
        <w:rPr>
          <w:sz w:val="20"/>
          <w:szCs w:val="20"/>
          <w:color w:val="auto"/>
        </w:rPr>
      </w:pPr>
    </w:p>
    <w:p>
      <w:pPr>
        <w:ind w:left="60" w:right="299"/>
        <w:spacing w:after="0" w:line="274" w:lineRule="auto"/>
        <w:rPr>
          <w:sz w:val="20"/>
          <w:szCs w:val="20"/>
          <w:color w:val="auto"/>
        </w:rPr>
      </w:pPr>
      <w:r>
        <w:rPr>
          <w:rFonts w:ascii="Arial" w:cs="Arial" w:eastAsia="Arial" w:hAnsi="Arial"/>
          <w:sz w:val="17"/>
          <w:szCs w:val="17"/>
          <w:color w:val="auto"/>
        </w:rPr>
        <w:t>Under the Tax Reform Act of 1986 (the Act), the net operating loss and tax credit carryforwards are subject to review and possible adjustment by the Internal Revenue Service and state tax authorities. Net operating loss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done an analysis to determine whether or not ownership changes, as defined by the Act, have occurred since inception.</w:t>
      </w:r>
    </w:p>
    <w:p>
      <w:pPr>
        <w:spacing w:after="0" w:line="20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will recognize interest and penalties related to uncertain tax positions in income tax expense. As of December 31, 2021, the Company had no accrued interest or penalties related to uncertain tax positions and no amounts have been recognized in the Company’s statements of operations. Due to net operating loss and tax credit carry forwards that remain unutilized, income tax returns for tax years from inception through 2020 remain subject to examination by the taxing jurisdictions.</w:t>
      </w:r>
    </w:p>
    <w:p>
      <w:pPr>
        <w:spacing w:after="0" w:line="167" w:lineRule="exact"/>
        <w:rPr>
          <w:sz w:val="20"/>
          <w:szCs w:val="20"/>
          <w:color w:val="auto"/>
        </w:rPr>
      </w:pPr>
    </w:p>
    <w:p>
      <w:pPr>
        <w:ind w:left="60" w:right="5219" w:hanging="10"/>
        <w:spacing w:after="0" w:line="527" w:lineRule="auto"/>
        <w:tabs>
          <w:tab w:leader="none" w:pos="46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Executive Employment Agreements</w:t>
      </w:r>
    </w:p>
    <w:p>
      <w:pPr>
        <w:spacing w:after="0" w:line="1" w:lineRule="exact"/>
        <w:rPr>
          <w:sz w:val="20"/>
          <w:szCs w:val="20"/>
          <w:color w:val="auto"/>
        </w:rPr>
      </w:pPr>
    </w:p>
    <w:p>
      <w:pPr>
        <w:ind w:left="60" w:right="779"/>
        <w:spacing w:after="0" w:line="274" w:lineRule="auto"/>
        <w:rPr>
          <w:sz w:val="20"/>
          <w:szCs w:val="20"/>
          <w:color w:val="auto"/>
        </w:rPr>
      </w:pPr>
      <w:r>
        <w:rPr>
          <w:rFonts w:ascii="Arial" w:cs="Arial" w:eastAsia="Arial" w:hAnsi="Arial"/>
          <w:sz w:val="17"/>
          <w:szCs w:val="17"/>
          <w:color w:val="auto"/>
        </w:rPr>
        <w:t>The Company has entered into an employment agreement and offer letters with certain key executives, providing for compensation and severance in certain circumstances, as defined in the agreements.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w:t>
      </w:r>
      <w:r>
        <w:rPr>
          <w:rFonts w:ascii="Arial" w:cs="Arial" w:eastAsia="Arial" w:hAnsi="Arial"/>
          <w:sz w:val="18"/>
          <w:szCs w:val="18"/>
          <w:b w:val="1"/>
          <w:bCs w:val="1"/>
          <w:color w:val="50748A"/>
        </w:rPr>
        <w:t>.</w:t>
      </w:r>
      <w:r>
        <w:rPr>
          <w:rFonts w:ascii="Arial" w:cs="Arial" w:eastAsia="Arial" w:hAnsi="Arial"/>
          <w:sz w:val="18"/>
          <w:szCs w:val="18"/>
          <w:b w:val="1"/>
          <w:bCs w:val="1"/>
          <w:color w:val="auto"/>
        </w:rPr>
        <w:t xml:space="preserve">  DISTRIBUTION AGREEMENT WITH TEIJIN PHARMA LIMITED</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October 2017, the Company entered into a seven-and-a-half-year distribution agreement with Teijin Pharma Limited, or Teijin, for the exclusive distribution of its NeuroStar Advanced Therapy System to customers who will treat patients with MDD in Japan. Under the distribution agreement, Teijin is generally restricted from selling competing products in Japan. The distribution agreement provides that the Company will have primary responsibility for obtaining reimbursement approval for use of NeuroStar Advanced Therapy System for the treatment of MDD in Japan, and Teijin will promote the sales of NeuroStar Advanced Therapy System for treatment of MDD in Japan. The Company has agreed to provide sales and technical support training to Teijin for its NeuroStar Advanced Therapy Systems. Teijin is required to purchase minimum dollar values of NeuroStar Advanced Therapy Systems and treatment sessions from the Company.</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2017, under the distribution agreement with Teijin, the Company received an upfront payment of $0.75 million and a milestone payment of $2.0 million following the Japanese Ministry of Health, Labour and Welfare’s, or JMHLW, approval of marketing the NeuroStar Advanced Therapy System for the treatment of MDD in Japan. In the second quarter of 2019, under the distribution agreement with Teijin, the Company earned a second milestone payment of $0.7 million, following Japan’s Central Social Insurance Medical Council (Chuikyo) approval of the recommendation by JMHLW’s expert review panel to provide reimbursement for NeuroStar Advanced Therapy for the treatment of MDD in adults. The reimbursement went into effect on June 1, 2019 and covers patients who are treated in the largest inpatient and outpatient psychiatric facilities in Japan at the rate of JPY12,000 per treatment session. These upfront and subsequent milestone payments have been deferred and are being recognized as revenue over the seven- and one-half year term of the agreement.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May 2019, the Company and Teijin entered into an amendment to the distribution agreement, which among other things finalized transfer prices, forecasting and minimum purchases, and made certain clarifications to the agreement.</w:t>
      </w:r>
    </w:p>
    <w:p>
      <w:pPr>
        <w:spacing w:after="0" w:line="203" w:lineRule="exact"/>
        <w:rPr>
          <w:sz w:val="20"/>
          <w:szCs w:val="20"/>
          <w:color w:val="auto"/>
        </w:rPr>
      </w:pPr>
    </w:p>
    <w:p>
      <w:pPr>
        <w:ind w:left="60" w:right="59"/>
        <w:spacing w:after="0" w:line="251" w:lineRule="auto"/>
        <w:rPr>
          <w:sz w:val="20"/>
          <w:szCs w:val="20"/>
          <w:color w:val="auto"/>
        </w:rPr>
      </w:pPr>
      <w:r>
        <w:rPr>
          <w:rFonts w:ascii="Arial" w:cs="Arial" w:eastAsia="Arial" w:hAnsi="Arial"/>
          <w:sz w:val="17"/>
          <w:szCs w:val="17"/>
          <w:color w:val="auto"/>
        </w:rPr>
        <w:t>The distribution agreement is scheduled to expire on March 31, 2025, subject to earlier termination if the Company or Teijin breach the agreement, Teijin fails to maintain distributor-level permits and approvals, Teijin fails to purchase from the Company specified dollar values of its sales forecasts, reimbursement for treatment of MDD using the NeuroStar Advanced Therapy System is not obtained from JMHLW by specified dates or such reimbursement is below specified minimums, Teijin reasonably believes that it is not commercially reasonable to continue distributing the NeuroStar Advanced Therapy System in Japan or bankruptcy related events occur. The term of the distribution agreement will be automatically extended for two years unless either party gives the other party at least two years’ prior written of notice of non-renewal, except that the Company cannot decline to renew the agreement if Teijin has purchased 100% of its sales forecasts over the term of the agreement.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GEOGRAPHICAL SEGMENT INFORMATION</w:t>
      </w:r>
    </w:p>
    <w:p>
      <w:pPr>
        <w:spacing w:after="0" w:line="234"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95"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9"/>
          </w:tcPr>
          <w:p>
            <w:pPr>
              <w:ind w:left="120"/>
              <w:spacing w:after="0"/>
              <w:rPr>
                <w:sz w:val="20"/>
                <w:szCs w:val="20"/>
                <w:color w:val="auto"/>
              </w:rPr>
            </w:pPr>
            <w:r>
              <w:rPr>
                <w:rFonts w:ascii="Arial" w:cs="Arial" w:eastAsia="Arial" w:hAnsi="Arial"/>
                <w:sz w:val="14"/>
                <w:szCs w:val="14"/>
                <w:b w:val="1"/>
                <w:bCs w:val="1"/>
                <w:color w:val="auto"/>
              </w:rPr>
              <w:t>Revenues by Geography</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ind w:left="240"/>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gridSpan w:val="2"/>
          </w:tcPr>
          <w:p>
            <w:pPr>
              <w:spacing w:after="0"/>
              <w:rPr>
                <w:sz w:val="12"/>
                <w:szCs w:val="12"/>
                <w:color w:val="auto"/>
              </w:rPr>
            </w:pPr>
          </w:p>
        </w:tc>
      </w:tr>
      <w:tr>
        <w:trPr>
          <w:trHeight w:val="175"/>
        </w:trPr>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Revenues</w:t>
            </w:r>
          </w:p>
        </w:tc>
        <w:tc>
          <w:tcPr>
            <w:tcW w:w="2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Amount</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2"/>
          </w:tcPr>
          <w:p>
            <w:pPr>
              <w:spacing w:after="0"/>
              <w:rPr>
                <w:sz w:val="15"/>
                <w:szCs w:val="15"/>
                <w:color w:val="auto"/>
              </w:rPr>
            </w:pPr>
          </w:p>
        </w:tc>
      </w:tr>
      <w:tr>
        <w:trPr>
          <w:trHeight w:val="183"/>
        </w:trPr>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gridSpan w:val="11"/>
          </w:tcPr>
          <w:p>
            <w:pPr>
              <w:jc w:val="right"/>
              <w:ind w:right="20"/>
              <w:spacing w:after="0"/>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100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53,447</w:t>
            </w:r>
          </w:p>
        </w:tc>
        <w:tc>
          <w:tcPr>
            <w:tcW w:w="20" w:type="dxa"/>
            <w:vAlign w:val="bottom"/>
            <w:shd w:val="clear" w:color="auto" w:fill="CCEEFF"/>
          </w:tcPr>
          <w:p>
            <w:pPr>
              <w:spacing w:after="0"/>
              <w:rPr>
                <w:sz w:val="17"/>
                <w:szCs w:val="17"/>
                <w:color w:val="auto"/>
              </w:rPr>
            </w:pPr>
          </w:p>
        </w:tc>
        <w:tc>
          <w:tcPr>
            <w:tcW w:w="1320" w:type="dxa"/>
            <w:vAlign w:val="bottom"/>
            <w:gridSpan w:val="6"/>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97 %</w:t>
            </w:r>
          </w:p>
        </w:tc>
        <w:tc>
          <w:tcPr>
            <w:tcW w:w="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47,519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c>
          <w:tcPr>
            <w:tcW w:w="20" w:type="dxa"/>
            <w:vAlign w:val="bottom"/>
          </w:tcPr>
          <w:p>
            <w:pPr>
              <w:spacing w:after="0"/>
              <w:rPr>
                <w:sz w:val="17"/>
                <w:szCs w:val="17"/>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1,865</w:t>
            </w:r>
          </w:p>
        </w:tc>
        <w:tc>
          <w:tcPr>
            <w:tcW w:w="20" w:type="dxa"/>
            <w:vAlign w:val="bottom"/>
          </w:tcPr>
          <w:p>
            <w:pPr>
              <w:spacing w:after="0"/>
              <w:rPr>
                <w:sz w:val="17"/>
                <w:szCs w:val="17"/>
                <w:color w:val="auto"/>
              </w:rPr>
            </w:pPr>
          </w:p>
        </w:tc>
        <w:tc>
          <w:tcPr>
            <w:tcW w:w="1320" w:type="dxa"/>
            <w:vAlign w:val="bottom"/>
            <w:gridSpan w:val="6"/>
          </w:tcPr>
          <w:p>
            <w:pPr>
              <w:jc w:val="right"/>
              <w:ind w:right="30"/>
              <w:spacing w:after="0" w:line="202" w:lineRule="exact"/>
              <w:rPr>
                <w:sz w:val="20"/>
                <w:szCs w:val="20"/>
                <w:color w:val="auto"/>
              </w:rPr>
            </w:pPr>
            <w:r>
              <w:rPr>
                <w:rFonts w:ascii="Arial" w:cs="Arial" w:eastAsia="Arial" w:hAnsi="Arial"/>
                <w:sz w:val="18"/>
                <w:szCs w:val="18"/>
                <w:color w:val="auto"/>
              </w:rPr>
              <w:t>3 %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1,725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20" w:type="dxa"/>
            <w:vAlign w:val="bottom"/>
          </w:tcPr>
          <w:p>
            <w:pPr>
              <w:spacing w:after="0"/>
              <w:rPr>
                <w:sz w:val="17"/>
                <w:szCs w:val="17"/>
                <w:color w:val="auto"/>
              </w:rPr>
            </w:pPr>
          </w:p>
        </w:tc>
      </w:tr>
      <w:tr>
        <w:trPr>
          <w:trHeight w:val="196"/>
        </w:trPr>
        <w:tc>
          <w:tcPr>
            <w:tcW w:w="36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revenues</w:t>
            </w: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55,312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49,244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3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gridSpan w:val="14"/>
          </w:tcPr>
          <w:p>
            <w:pPr>
              <w:ind w:left="740"/>
              <w:spacing w:after="0"/>
              <w:rPr>
                <w:sz w:val="20"/>
                <w:szCs w:val="20"/>
                <w:color w:val="auto"/>
              </w:rPr>
            </w:pPr>
            <w:r>
              <w:rPr>
                <w:rFonts w:ascii="Arial" w:cs="Arial" w:eastAsia="Arial" w:hAnsi="Arial"/>
                <w:sz w:val="14"/>
                <w:szCs w:val="14"/>
                <w:b w:val="1"/>
                <w:bCs w:val="1"/>
                <w:color w:val="auto"/>
              </w:rPr>
              <w:t>U.S. Revenues by Product Category</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72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ind w:left="280"/>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gridSpan w:val="2"/>
          </w:tcPr>
          <w:p>
            <w:pPr>
              <w:spacing w:after="0"/>
              <w:rPr>
                <w:sz w:val="12"/>
                <w:szCs w:val="12"/>
                <w:color w:val="auto"/>
              </w:rPr>
            </w:pPr>
          </w:p>
        </w:tc>
      </w:tr>
      <w:tr>
        <w:trPr>
          <w:trHeight w:val="175"/>
        </w:trPr>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2"/>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10"/>
          </w:tcPr>
          <w:p>
            <w:pPr>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NeuroStar Advanced Therapy System</w:t>
            </w: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9,760</w:t>
            </w:r>
          </w:p>
        </w:tc>
        <w:tc>
          <w:tcPr>
            <w:tcW w:w="132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11,094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20" w:type="dxa"/>
            <w:vAlign w:val="bottom"/>
          </w:tcPr>
          <w:p>
            <w:pPr>
              <w:spacing w:after="0"/>
              <w:rPr>
                <w:sz w:val="17"/>
                <w:szCs w:val="17"/>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Treatment sessions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41,933</w:t>
            </w:r>
          </w:p>
        </w:tc>
        <w:tc>
          <w:tcPr>
            <w:tcW w:w="13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78 %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34,852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73 %</w:t>
            </w:r>
          </w:p>
        </w:tc>
        <w:tc>
          <w:tcPr>
            <w:tcW w:w="20" w:type="dxa"/>
            <w:vAlign w:val="bottom"/>
          </w:tcPr>
          <w:p>
            <w:pPr>
              <w:spacing w:after="0"/>
              <w:rPr>
                <w:sz w:val="17"/>
                <w:szCs w:val="17"/>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1,754</w:t>
            </w:r>
          </w:p>
        </w:tc>
        <w:tc>
          <w:tcPr>
            <w:tcW w:w="132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20" w:type="dxa"/>
            <w:vAlign w:val="bottom"/>
          </w:tcPr>
          <w:p>
            <w:pPr>
              <w:spacing w:after="0"/>
              <w:rPr>
                <w:sz w:val="17"/>
                <w:szCs w:val="17"/>
                <w:color w:val="auto"/>
              </w:rPr>
            </w:pPr>
          </w:p>
        </w:tc>
      </w:tr>
      <w:tr>
        <w:trPr>
          <w:trHeight w:val="196"/>
        </w:trPr>
        <w:tc>
          <w:tcPr>
            <w:tcW w:w="3660" w:type="dxa"/>
            <w:vAlign w:val="bottom"/>
          </w:tcPr>
          <w:p>
            <w:pPr>
              <w:ind w:left="120"/>
              <w:spacing w:after="0" w:line="196" w:lineRule="exact"/>
              <w:rPr>
                <w:sz w:val="20"/>
                <w:szCs w:val="20"/>
                <w:color w:val="auto"/>
              </w:rPr>
            </w:pPr>
            <w:r>
              <w:rPr>
                <w:rFonts w:ascii="Arial" w:cs="Arial" w:eastAsia="Arial" w:hAnsi="Arial"/>
                <w:sz w:val="18"/>
                <w:szCs w:val="18"/>
                <w:color w:val="auto"/>
              </w:rPr>
              <w:t>Total U.S. revenues</w:t>
            </w:r>
          </w:p>
        </w:tc>
        <w:tc>
          <w:tcPr>
            <w:tcW w:w="86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53,447</w:t>
            </w: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47,519</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6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F-33</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3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20" w:type="dxa"/>
            <w:vAlign w:val="bottom"/>
            <w:gridSpan w:val="19"/>
          </w:tcPr>
          <w:p>
            <w:pPr>
              <w:jc w:val="right"/>
              <w:ind w:right="640"/>
              <w:spacing w:after="0"/>
              <w:rPr>
                <w:sz w:val="20"/>
                <w:szCs w:val="20"/>
                <w:color w:val="auto"/>
              </w:rPr>
            </w:pPr>
            <w:r>
              <w:rPr>
                <w:rFonts w:ascii="Arial" w:cs="Arial" w:eastAsia="Arial" w:hAnsi="Arial"/>
                <w:sz w:val="14"/>
                <w:szCs w:val="14"/>
                <w:b w:val="1"/>
                <w:bCs w:val="1"/>
                <w:color w:val="auto"/>
              </w:rPr>
              <w:t>International Revenues by Product Category</w:t>
            </w:r>
          </w:p>
        </w:tc>
      </w:t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12"/>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ind w:right="145"/>
              <w:spacing w:after="0" w:line="14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4"/>
                <w:szCs w:val="14"/>
                <w:b w:val="1"/>
                <w:bCs w:val="1"/>
                <w:color w:val="auto"/>
              </w:rPr>
              <w:t>Amount</w:t>
            </w: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2"/>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gridSpan w:val="2"/>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40" w:type="dxa"/>
            <w:vAlign w:val="bottom"/>
            <w:gridSpan w:val="13"/>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59 %</w:t>
            </w: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50 %</w:t>
            </w: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14 %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27 %</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196"/>
        </w:trPr>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8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1,725</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rPr>
              <w:t>Revenues by Geography</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0"/>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6"/>
          </w:tcPr>
          <w:p>
            <w:pPr>
              <w:jc w:val="right"/>
              <w:ind w:right="625"/>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gridSpan w:val="3"/>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Amount</w:t>
            </w:r>
          </w:p>
        </w:tc>
        <w:tc>
          <w:tcPr>
            <w:tcW w:w="16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3"/>
          </w:tcPr>
          <w:p>
            <w:pPr>
              <w:spacing w:after="0"/>
              <w:rPr>
                <w:sz w:val="15"/>
                <w:szCs w:val="15"/>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12"/>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39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9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47,519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96 %</w:t>
            </w:r>
          </w:p>
        </w:tc>
        <w:tc>
          <w:tcPr>
            <w:tcW w:w="2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60,760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r>
      <w:tr>
        <w:trPr>
          <w:trHeight w:val="203"/>
        </w:trPr>
        <w:tc>
          <w:tcPr>
            <w:tcW w:w="3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International</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1,896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3 %</w:t>
            </w:r>
          </w:p>
        </w:tc>
        <w:tc>
          <w:tcPr>
            <w:tcW w:w="20" w:type="dxa"/>
            <w:vAlign w:val="bottom"/>
          </w:tcPr>
          <w:p>
            <w:pPr>
              <w:spacing w:after="0"/>
              <w:rPr>
                <w:sz w:val="17"/>
                <w:szCs w:val="17"/>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49,244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62,656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3700" w:type="dxa"/>
            <w:vAlign w:val="bottom"/>
            <w:gridSpan w:val="8"/>
          </w:tcPr>
          <w:p>
            <w:pPr>
              <w:ind w:left="540"/>
              <w:spacing w:after="0"/>
              <w:rPr>
                <w:sz w:val="20"/>
                <w:szCs w:val="20"/>
                <w:color w:val="auto"/>
              </w:rPr>
            </w:pPr>
            <w:r>
              <w:rPr>
                <w:rFonts w:ascii="Arial" w:cs="Arial" w:eastAsia="Arial" w:hAnsi="Arial"/>
                <w:sz w:val="14"/>
                <w:szCs w:val="14"/>
                <w:b w:val="1"/>
                <w:bCs w:val="1"/>
                <w:color w:val="auto"/>
              </w:rPr>
              <w:t>U.S. Revenues by Product Category</w:t>
            </w:r>
          </w:p>
        </w:tc>
      </w:tr>
      <w:tr>
        <w:trPr>
          <w:trHeight w:val="175"/>
        </w:trPr>
        <w:tc>
          <w:tcPr>
            <w:tcW w:w="5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5200" w:type="dxa"/>
            <w:vAlign w:val="bottom"/>
          </w:tcPr>
          <w:p>
            <w:pPr>
              <w:spacing w:after="0"/>
              <w:rPr>
                <w:sz w:val="13"/>
                <w:szCs w:val="13"/>
                <w:color w:val="auto"/>
              </w:rPr>
            </w:pPr>
          </w:p>
        </w:tc>
        <w:tc>
          <w:tcPr>
            <w:tcW w:w="1640" w:type="dxa"/>
            <w:vAlign w:val="bottom"/>
            <w:tcBorders>
              <w:bottom w:val="single" w:sz="8" w:color="auto"/>
            </w:tcBorders>
            <w:gridSpan w:val="3"/>
          </w:tcPr>
          <w:p>
            <w:pPr>
              <w:jc w:val="right"/>
              <w:ind w:right="58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640" w:type="dxa"/>
            <w:vAlign w:val="bottom"/>
            <w:tcBorders>
              <w:bottom w:val="single" w:sz="8" w:color="auto"/>
            </w:tcBorders>
            <w:gridSpan w:val="3"/>
          </w:tcPr>
          <w:p>
            <w:pPr>
              <w:jc w:val="right"/>
              <w:ind w:right="57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r>
      <w:tr>
        <w:trPr>
          <w:trHeight w:val="142"/>
        </w:trPr>
        <w:tc>
          <w:tcPr>
            <w:tcW w:w="5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22"/>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96"/>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5200" w:type="dxa"/>
            <w:vAlign w:val="bottom"/>
          </w:tcPr>
          <w:p>
            <w:pPr>
              <w:spacing w:after="0"/>
              <w:rPr>
                <w:sz w:val="15"/>
                <w:szCs w:val="15"/>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9"/>
              </w:rPr>
              <w:t>Revenues</w:t>
            </w:r>
          </w:p>
        </w:tc>
      </w:tr>
      <w:tr>
        <w:trPr>
          <w:trHeight w:val="20"/>
        </w:trPr>
        <w:tc>
          <w:tcPr>
            <w:tcW w:w="5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2860" w:type="dxa"/>
            <w:vAlign w:val="bottom"/>
            <w:tcBorders>
              <w:bottom w:val="single" w:sz="8" w:color="auto"/>
            </w:tcBorders>
            <w:gridSpan w:val="6"/>
          </w:tcPr>
          <w:p>
            <w:pPr>
              <w:ind w:left="56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NeuroStar Advanced Therapy System</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$ 11,094</w:t>
            </w:r>
          </w:p>
        </w:tc>
        <w:tc>
          <w:tcPr>
            <w:tcW w:w="1120" w:type="dxa"/>
            <w:vAlign w:val="bottom"/>
            <w:gridSpan w:val="3"/>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23 %</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$ 18,007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Treatment sessions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34,852</w:t>
            </w:r>
          </w:p>
        </w:tc>
        <w:tc>
          <w:tcPr>
            <w:tcW w:w="11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73 %</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41,120</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68 %</w:t>
            </w: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1,573</w:t>
            </w:r>
          </w:p>
        </w:tc>
        <w:tc>
          <w:tcPr>
            <w:tcW w:w="112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4 %</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5200" w:type="dxa"/>
            <w:vAlign w:val="bottom"/>
          </w:tcPr>
          <w:p>
            <w:pPr>
              <w:ind w:left="120"/>
              <w:spacing w:after="0" w:line="196" w:lineRule="exact"/>
              <w:rPr>
                <w:sz w:val="20"/>
                <w:szCs w:val="20"/>
                <w:color w:val="auto"/>
              </w:rPr>
            </w:pPr>
            <w:r>
              <w:rPr>
                <w:rFonts w:ascii="Arial" w:cs="Arial" w:eastAsia="Arial" w:hAnsi="Arial"/>
                <w:sz w:val="18"/>
                <w:szCs w:val="18"/>
                <w:color w:val="auto"/>
              </w:rPr>
              <w:t>Total U.S. revenues</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$ 47,519</w:t>
            </w: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$ 60,760</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gridSpan w:val="10"/>
          </w:tcPr>
          <w:p>
            <w:pPr>
              <w:jc w:val="right"/>
              <w:ind w:right="250"/>
              <w:spacing w:after="0"/>
              <w:rPr>
                <w:sz w:val="20"/>
                <w:szCs w:val="20"/>
                <w:color w:val="auto"/>
              </w:rPr>
            </w:pPr>
            <w:r>
              <w:rPr>
                <w:rFonts w:ascii="Arial" w:cs="Arial" w:eastAsia="Arial" w:hAnsi="Arial"/>
                <w:sz w:val="14"/>
                <w:szCs w:val="14"/>
                <w:b w:val="1"/>
                <w:bCs w:val="1"/>
                <w:color w:val="auto"/>
              </w:rPr>
              <w:t>International Revenues by Product Category</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8"/>
          </w:tcPr>
          <w:p>
            <w:pPr>
              <w:jc w:val="right"/>
              <w:ind w:right="91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02"/>
              <w:spacing w:after="0" w:line="14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02"/>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9"/>
              </w:rPr>
              <w:t>Revenues</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6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NeuroStar Advanced Therapy System</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c>
          <w:tcPr>
            <w:tcW w:w="1220" w:type="dxa"/>
            <w:vAlign w:val="bottom"/>
            <w:gridSpan w:val="4"/>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50 %</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$ 1,106</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3"/>
        </w:trPr>
        <w:tc>
          <w:tcPr>
            <w:tcW w:w="5340" w:type="dxa"/>
            <w:vAlign w:val="bottom"/>
          </w:tcPr>
          <w:p>
            <w:pPr>
              <w:ind w:left="20"/>
              <w:spacing w:after="0" w:line="202" w:lineRule="exact"/>
              <w:rPr>
                <w:sz w:val="20"/>
                <w:szCs w:val="20"/>
                <w:color w:val="auto"/>
              </w:rPr>
            </w:pPr>
            <w:r>
              <w:rPr>
                <w:rFonts w:ascii="Arial" w:cs="Arial" w:eastAsia="Arial" w:hAnsi="Arial"/>
                <w:sz w:val="18"/>
                <w:szCs w:val="18"/>
                <w:color w:val="auto"/>
              </w:rPr>
              <w:t>Treatment sessions</w:t>
            </w:r>
          </w:p>
        </w:tc>
        <w:tc>
          <w:tcPr>
            <w:tcW w:w="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1220" w:type="dxa"/>
            <w:vAlign w:val="bottom"/>
            <w:gridSpan w:val="4"/>
          </w:tcPr>
          <w:p>
            <w:pPr>
              <w:jc w:val="right"/>
              <w:ind w:right="30"/>
              <w:spacing w:after="0" w:line="202" w:lineRule="exact"/>
              <w:rPr>
                <w:sz w:val="20"/>
                <w:szCs w:val="20"/>
                <w:color w:val="auto"/>
              </w:rPr>
            </w:pPr>
            <w:r>
              <w:rPr>
                <w:rFonts w:ascii="Arial" w:cs="Arial" w:eastAsia="Arial" w:hAnsi="Arial"/>
                <w:sz w:val="18"/>
                <w:szCs w:val="18"/>
                <w:color w:val="auto"/>
              </w:rPr>
              <w:t>26 %</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w:t>
            </w:r>
          </w:p>
        </w:tc>
        <w:tc>
          <w:tcPr>
            <w:tcW w:w="1220" w:type="dxa"/>
            <w:vAlign w:val="bottom"/>
            <w:gridSpan w:val="4"/>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24 %</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96"/>
        </w:trPr>
        <w:tc>
          <w:tcPr>
            <w:tcW w:w="5340" w:type="dxa"/>
            <w:vAlign w:val="bottom"/>
          </w:tcPr>
          <w:p>
            <w:pPr>
              <w:ind w:left="20"/>
              <w:spacing w:after="0" w:line="196" w:lineRule="exact"/>
              <w:rPr>
                <w:sz w:val="20"/>
                <w:szCs w:val="20"/>
                <w:color w:val="auto"/>
              </w:rPr>
            </w:pPr>
            <w:r>
              <w:rPr>
                <w:rFonts w:ascii="Arial" w:cs="Arial" w:eastAsia="Arial" w:hAnsi="Arial"/>
                <w:sz w:val="18"/>
                <w:szCs w:val="18"/>
                <w:color w:val="auto"/>
              </w:rPr>
              <w:t>Total International revenues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1,725</w:t>
            </w:r>
          </w:p>
        </w:tc>
        <w:tc>
          <w:tcPr>
            <w:tcW w:w="6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$ 1,896</w:t>
            </w:r>
          </w:p>
        </w:tc>
        <w:tc>
          <w:tcPr>
            <w:tcW w:w="6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SEVERANCE</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April 8, 2020, the Company took action to reduce expenses through a reduction in force (“RIF”). As part of this action the Company terminated 95 employees who received separation benefits upon their termination. During the second quarter of 2020, the Company recorded a separation-related charge for the RIF equal to the fair value of the terminated employees benefits as of the communication date in the amount of $2.1 million. This amount was paid out during the quarter with the final payoff occurring on June 15, 2020.</w:t>
      </w:r>
    </w:p>
    <w:p>
      <w:pPr>
        <w:spacing w:after="0" w:line="202" w:lineRule="exact"/>
        <w:rPr>
          <w:sz w:val="20"/>
          <w:szCs w:val="20"/>
          <w:color w:val="auto"/>
        </w:rPr>
      </w:pPr>
    </w:p>
    <w:p>
      <w:pPr>
        <w:ind w:left="100" w:right="139"/>
        <w:spacing w:after="0" w:line="238" w:lineRule="auto"/>
        <w:rPr>
          <w:sz w:val="20"/>
          <w:szCs w:val="20"/>
          <w:color w:val="auto"/>
        </w:rPr>
      </w:pPr>
      <w:r>
        <w:rPr>
          <w:rFonts w:ascii="Arial" w:cs="Arial" w:eastAsia="Arial" w:hAnsi="Arial"/>
          <w:sz w:val="18"/>
          <w:szCs w:val="18"/>
          <w:color w:val="auto"/>
        </w:rPr>
        <w:t>The Company entered into transition agreements outlining the separation with its former chief executive officer in March 2020, the vice president of medical operations in September 2020, and the chief commercial officer, vice president of commercial access and director of medical operations in December 2020, the VP of sales and five business development managers in January 2021, the director of strategic clinical development in February 2021, and the vice president of marketing in August 2021. In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98" w:lineRule="exact"/>
        <w:rPr>
          <w:sz w:val="20"/>
          <w:szCs w:val="20"/>
          <w:color w:val="auto"/>
        </w:rPr>
      </w:pPr>
    </w:p>
    <w:p>
      <w:pPr>
        <w:ind w:left="100" w:right="219"/>
        <w:spacing w:after="0" w:line="237" w:lineRule="auto"/>
        <w:rPr>
          <w:sz w:val="20"/>
          <w:szCs w:val="20"/>
          <w:color w:val="auto"/>
        </w:rPr>
      </w:pPr>
      <w:r>
        <w:rPr>
          <w:rFonts w:ascii="Arial" w:cs="Arial" w:eastAsia="Arial" w:hAnsi="Arial"/>
          <w:sz w:val="18"/>
          <w:szCs w:val="18"/>
          <w:color w:val="auto"/>
        </w:rPr>
        <w:t>connection with these agreements, the Company recorded $0.5 million and $ 1.8 million of charges in salary, payroll tax and bonus expenses for the years ended December 31, 2021 and 2020, respectively. For the year ended December 31, 2021 and 2020, $1.3 million and $0.8 million of termination benefits were paid associated with the termination of the employees and charged against this liability. As of December 31, 2021 and December 31, 2020, $0.1 million and $1.0 million, respectively, remain in accrued liabilities for the unpaid portion of the separation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199"/>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NEURONETICS, INC.</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wp:posOffset>
            </wp:positionV>
            <wp:extent cx="2554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b w:val="1"/>
          <w:bCs w:val="1"/>
          <w:color w:val="auto"/>
        </w:rPr>
        <w:t>Keith J. Sullivan</w:t>
      </w:r>
    </w:p>
    <w:p>
      <w:pPr>
        <w:ind w:left="480"/>
        <w:spacing w:after="0" w:line="234" w:lineRule="auto"/>
        <w:rPr>
          <w:sz w:val="20"/>
          <w:szCs w:val="20"/>
          <w:color w:val="auto"/>
        </w:rPr>
      </w:pPr>
      <w:r>
        <w:rPr>
          <w:rFonts w:ascii="Arial" w:cs="Arial" w:eastAsia="Arial" w:hAnsi="Arial"/>
          <w:sz w:val="18"/>
          <w:szCs w:val="18"/>
          <w:b w:val="1"/>
          <w:bCs w:val="1"/>
          <w:color w:val="auto"/>
        </w:rPr>
        <w:t>President and Chief Executive Officer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Date:March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wp:posOffset>
            </wp:positionV>
            <wp:extent cx="2554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92"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ind w:left="1120"/>
              <w:spacing w:after="0"/>
              <w:rPr>
                <w:sz w:val="20"/>
                <w:szCs w:val="20"/>
                <w:color w:val="auto"/>
              </w:rPr>
            </w:pPr>
            <w:r>
              <w:rPr>
                <w:rFonts w:ascii="Arial" w:cs="Arial" w:eastAsia="Arial" w:hAnsi="Arial"/>
                <w:sz w:val="15"/>
                <w:szCs w:val="15"/>
                <w:b w:val="1"/>
                <w:bCs w:val="1"/>
                <w:color w:val="auto"/>
              </w:rPr>
              <w:t>Signature</w:t>
            </w:r>
          </w:p>
        </w:tc>
        <w:tc>
          <w:tcPr>
            <w:tcW w:w="200" w:type="dxa"/>
            <w:vAlign w:val="bottom"/>
          </w:tcPr>
          <w:p>
            <w:pPr>
              <w:spacing w:after="0"/>
              <w:rPr>
                <w:sz w:val="15"/>
                <w:szCs w:val="15"/>
                <w:color w:val="auto"/>
              </w:rPr>
            </w:pPr>
          </w:p>
        </w:tc>
        <w:tc>
          <w:tcPr>
            <w:tcW w:w="3480" w:type="dxa"/>
            <w:vAlign w:val="bottom"/>
            <w:tcBorders>
              <w:bottom w:val="single" w:sz="8" w:color="auto"/>
            </w:tcBorders>
          </w:tcPr>
          <w:p>
            <w:pPr>
              <w:ind w:left="1580"/>
              <w:spacing w:after="0"/>
              <w:rPr>
                <w:sz w:val="20"/>
                <w:szCs w:val="20"/>
                <w:color w:val="auto"/>
              </w:rPr>
            </w:pPr>
            <w:r>
              <w:rPr>
                <w:rFonts w:ascii="Arial" w:cs="Arial" w:eastAsia="Arial" w:hAnsi="Arial"/>
                <w:sz w:val="15"/>
                <w:szCs w:val="15"/>
                <w:b w:val="1"/>
                <w:bCs w:val="1"/>
                <w:color w:val="auto"/>
              </w:rPr>
              <w:t>Title</w:t>
            </w:r>
          </w:p>
        </w:tc>
        <w:tc>
          <w:tcPr>
            <w:tcW w:w="2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Date</w:t>
            </w:r>
          </w:p>
        </w:tc>
      </w:tr>
      <w:tr>
        <w:trPr>
          <w:trHeight w:val="345"/>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Keith J. Sullivan</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President, Chief Executive Officer and 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8, 2022</w:t>
            </w:r>
          </w:p>
        </w:tc>
      </w:tr>
      <w:tr>
        <w:trPr>
          <w:trHeight w:val="215"/>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Keith J. Sullivan</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(Principal Executive Officer)</w:t>
            </w:r>
          </w:p>
        </w:tc>
        <w:tc>
          <w:tcPr>
            <w:tcW w:w="2200" w:type="dxa"/>
            <w:vAlign w:val="bottom"/>
          </w:tcPr>
          <w:p>
            <w:pPr>
              <w:spacing w:after="0"/>
              <w:rPr>
                <w:sz w:val="18"/>
                <w:szCs w:val="18"/>
                <w:color w:val="auto"/>
              </w:rPr>
            </w:pPr>
          </w:p>
        </w:tc>
      </w:tr>
      <w:tr>
        <w:trPr>
          <w:trHeight w:val="346"/>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Stephen Furlong</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Senior VP, Chief Financial Officer and Treasurer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8, 2022</w:t>
            </w:r>
          </w:p>
        </w:tc>
      </w:tr>
      <w:tr>
        <w:trPr>
          <w:trHeight w:val="215"/>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Stephen Furlong</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(Principal Financial and Accounting Officer)</w:t>
            </w:r>
          </w:p>
        </w:tc>
        <w:tc>
          <w:tcPr>
            <w:tcW w:w="2200" w:type="dxa"/>
            <w:vAlign w:val="bottom"/>
          </w:tcPr>
          <w:p>
            <w:pPr>
              <w:spacing w:after="0"/>
              <w:rPr>
                <w:sz w:val="18"/>
                <w:szCs w:val="18"/>
                <w:color w:val="auto"/>
              </w:rPr>
            </w:pPr>
          </w:p>
        </w:tc>
      </w:tr>
      <w:tr>
        <w:trPr>
          <w:trHeight w:val="345"/>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Cascella</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8, 2022</w:t>
            </w:r>
          </w:p>
        </w:tc>
      </w:tr>
      <w:tr>
        <w:trPr>
          <w:trHeight w:val="178"/>
        </w:trPr>
        <w:tc>
          <w:tcPr>
            <w:tcW w:w="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Robert Cascella</w:t>
            </w:r>
          </w:p>
        </w:tc>
        <w:tc>
          <w:tcPr>
            <w:tcW w:w="2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42"/>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John Bakewell</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8, 2022</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John Bakewell</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6"/>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Sheryl Conley</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8, 2022</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Sheryl Conley</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6"/>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Megan Rosengarten</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8, 2022</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Megan Rosengarten</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Wilfred Jaeger, M.D.</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8, 2022</w:t>
            </w: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Wilfred Jaeger, M.D.</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Glenn Muir</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8, 2022</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Glenn Muir</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6"/>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Bruce Shook</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8, 2022</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Bruce Shook</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595"/>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consent to the incorporation by reference in the registration statements (No. 333-226343 and 333-252233) on Form S-8 and in the registration statement (No. 333-233047) on Form S-3 of our report dated March 8, 2022, with respect to the financial statements of Neuronetics,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Keith J. Sullivan, certify that:</w:t>
      </w:r>
    </w:p>
    <w:p>
      <w:pPr>
        <w:spacing w:after="0" w:line="198" w:lineRule="exact"/>
        <w:rPr>
          <w:sz w:val="20"/>
          <w:szCs w:val="20"/>
          <w:color w:val="auto"/>
        </w:rPr>
      </w:pPr>
    </w:p>
    <w:p>
      <w:pPr>
        <w:ind w:left="760" w:hanging="74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Neuronetics, Inc.;</w:t>
      </w:r>
    </w:p>
    <w:p>
      <w:pPr>
        <w:spacing w:after="0" w:line="198" w:lineRule="exact"/>
        <w:rPr>
          <w:rFonts w:ascii="Arial" w:cs="Arial" w:eastAsia="Arial" w:hAnsi="Arial"/>
          <w:sz w:val="18"/>
          <w:szCs w:val="18"/>
          <w:color w:val="auto"/>
        </w:rPr>
      </w:pPr>
    </w:p>
    <w:p>
      <w:pPr>
        <w:jc w:val="both"/>
        <w:ind w:left="720" w:hanging="708"/>
        <w:spacing w:after="0"/>
        <w:tabs>
          <w:tab w:leader="none" w:pos="9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720" w:right="220" w:hanging="708"/>
        <w:spacing w:after="0"/>
        <w:tabs>
          <w:tab w:leader="none" w:pos="7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720" w:hanging="708"/>
        <w:spacing w:after="0"/>
        <w:tabs>
          <w:tab w:leader="none" w:pos="88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440" w:hanging="713"/>
        <w:spacing w:after="0" w:line="238" w:lineRule="auto"/>
        <w:tabs>
          <w:tab w:leader="none" w:pos="147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440" w:hanging="713"/>
        <w:spacing w:after="0" w:line="238" w:lineRule="auto"/>
        <w:tabs>
          <w:tab w:leader="none" w:pos="166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440" w:right="180" w:hanging="713"/>
        <w:spacing w:after="0"/>
        <w:tabs>
          <w:tab w:leader="none" w:pos="1479"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440" w:hanging="713"/>
        <w:spacing w:after="0" w:line="238" w:lineRule="auto"/>
        <w:tabs>
          <w:tab w:leader="none" w:pos="1439"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720" w:right="20" w:hanging="708"/>
        <w:spacing w:after="0"/>
        <w:tabs>
          <w:tab w:leader="none" w:pos="7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1440" w:right="60" w:hanging="713"/>
        <w:spacing w:after="0"/>
        <w:tabs>
          <w:tab w:leader="none" w:pos="142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440" w:right="160" w:hanging="713"/>
        <w:spacing w:after="0" w:line="246" w:lineRule="auto"/>
        <w:tabs>
          <w:tab w:leader="none" w:pos="142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60" w:val="left"/>
          <w:tab w:leader="none" w:pos="5560" w:val="left"/>
        </w:tabs>
        <w:rPr>
          <w:sz w:val="20"/>
          <w:szCs w:val="20"/>
          <w:color w:val="auto"/>
        </w:rPr>
      </w:pPr>
      <w:r>
        <w:rPr>
          <w:rFonts w:ascii="Arial" w:cs="Arial" w:eastAsia="Arial" w:hAnsi="Arial"/>
          <w:sz w:val="18"/>
          <w:szCs w:val="18"/>
          <w:color w:val="auto"/>
        </w:rPr>
        <w:t>Date: March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-1905</wp:posOffset>
            </wp:positionV>
            <wp:extent cx="27603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Name: Keith J. Sullivan</w:t>
      </w:r>
    </w:p>
    <w:p>
      <w:pPr>
        <w:ind w:left="4980"/>
        <w:spacing w:after="0" w:line="234" w:lineRule="auto"/>
        <w:tabs>
          <w:tab w:leader="none" w:pos="5560" w:val="left"/>
        </w:tabs>
        <w:rPr>
          <w:sz w:val="20"/>
          <w:szCs w:val="20"/>
          <w:color w:val="auto"/>
        </w:rPr>
      </w:pPr>
      <w:r>
        <w:rPr>
          <w:rFonts w:ascii="Arial" w:cs="Arial" w:eastAsia="Arial" w:hAnsi="Arial"/>
          <w:sz w:val="18"/>
          <w:szCs w:val="18"/>
          <w:color w:val="auto"/>
        </w:rPr>
        <w:t>Title:</w:t>
        <w:tab/>
        <w:t>President and Chief Executive Officer</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Stephen Furlong, certify that:</w:t>
      </w:r>
    </w:p>
    <w:p>
      <w:pPr>
        <w:spacing w:after="0" w:line="198" w:lineRule="exact"/>
        <w:rPr>
          <w:sz w:val="20"/>
          <w:szCs w:val="20"/>
          <w:color w:val="auto"/>
        </w:rPr>
      </w:pPr>
    </w:p>
    <w:p>
      <w:pPr>
        <w:ind w:left="760" w:hanging="748"/>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Neuronetics, Inc.;</w:t>
      </w:r>
    </w:p>
    <w:p>
      <w:pPr>
        <w:spacing w:after="0" w:line="198" w:lineRule="exact"/>
        <w:rPr>
          <w:rFonts w:ascii="Arial" w:cs="Arial" w:eastAsia="Arial" w:hAnsi="Arial"/>
          <w:sz w:val="18"/>
          <w:szCs w:val="18"/>
          <w:color w:val="auto"/>
        </w:rPr>
      </w:pPr>
    </w:p>
    <w:p>
      <w:pPr>
        <w:jc w:val="both"/>
        <w:ind w:left="720" w:hanging="708"/>
        <w:spacing w:after="0"/>
        <w:tabs>
          <w:tab w:leader="none" w:pos="9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720" w:right="220" w:hanging="708"/>
        <w:spacing w:after="0"/>
        <w:tabs>
          <w:tab w:leader="none" w:pos="7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720" w:hanging="708"/>
        <w:spacing w:after="0"/>
        <w:tabs>
          <w:tab w:leader="none" w:pos="8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440" w:hanging="713"/>
        <w:spacing w:after="0" w:line="238" w:lineRule="auto"/>
        <w:tabs>
          <w:tab w:leader="none" w:pos="147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440" w:hanging="713"/>
        <w:spacing w:after="0" w:line="238" w:lineRule="auto"/>
        <w:tabs>
          <w:tab w:leader="none" w:pos="166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440" w:right="180" w:hanging="713"/>
        <w:spacing w:after="0"/>
        <w:tabs>
          <w:tab w:leader="none" w:pos="1479"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440" w:hanging="713"/>
        <w:spacing w:after="0" w:line="238" w:lineRule="auto"/>
        <w:tabs>
          <w:tab w:leader="none" w:pos="1439"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720" w:right="20" w:hanging="708"/>
        <w:spacing w:after="0"/>
        <w:tabs>
          <w:tab w:leader="none" w:pos="7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1440" w:right="60" w:hanging="713"/>
        <w:spacing w:after="0"/>
        <w:tabs>
          <w:tab w:leader="none" w:pos="142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440" w:right="160" w:hanging="713"/>
        <w:spacing w:after="0" w:line="246" w:lineRule="auto"/>
        <w:tabs>
          <w:tab w:leader="none" w:pos="142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60" w:val="left"/>
          <w:tab w:leader="none" w:pos="5560" w:val="left"/>
        </w:tabs>
        <w:rPr>
          <w:sz w:val="20"/>
          <w:szCs w:val="20"/>
          <w:color w:val="auto"/>
        </w:rPr>
      </w:pPr>
      <w:r>
        <w:rPr>
          <w:rFonts w:ascii="Arial" w:cs="Arial" w:eastAsia="Arial" w:hAnsi="Arial"/>
          <w:sz w:val="18"/>
          <w:szCs w:val="18"/>
          <w:color w:val="auto"/>
        </w:rPr>
        <w:t>Date: March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-1905</wp:posOffset>
            </wp:positionV>
            <wp:extent cx="27603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Name: Stephen Furlong</w:t>
      </w:r>
    </w:p>
    <w:p>
      <w:pPr>
        <w:ind w:left="4980"/>
        <w:spacing w:after="0" w:line="234" w:lineRule="auto"/>
        <w:tabs>
          <w:tab w:leader="none" w:pos="5560" w:val="left"/>
        </w:tabs>
        <w:rPr>
          <w:sz w:val="20"/>
          <w:szCs w:val="20"/>
          <w:color w:val="auto"/>
        </w:rPr>
      </w:pPr>
      <w:r>
        <w:rPr>
          <w:rFonts w:ascii="Arial" w:cs="Arial" w:eastAsia="Arial" w:hAnsi="Arial"/>
          <w:sz w:val="18"/>
          <w:szCs w:val="18"/>
          <w:color w:val="auto"/>
        </w:rPr>
        <w:t>Title:</w:t>
        <w:tab/>
        <w:t>SVP, Chief Financial Officer and Treasurer</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Keith J. Sullivan, President and Chief Executive Officer of Neuronetics, Inc. (the “Company”), and Stephen Furlong, Senior Vice President, Chief Financial Officer and Treasurer of the Company, each hereby certifies that, to the best of his or her knowledge:</w:t>
      </w:r>
    </w:p>
    <w:p>
      <w:pPr>
        <w:spacing w:after="0" w:line="191" w:lineRule="exact"/>
        <w:rPr>
          <w:sz w:val="20"/>
          <w:szCs w:val="20"/>
          <w:color w:val="auto"/>
        </w:rPr>
      </w:pPr>
    </w:p>
    <w:p>
      <w:pPr>
        <w:ind w:left="780" w:right="20" w:hanging="768"/>
        <w:spacing w:after="0"/>
        <w:tabs>
          <w:tab w:leader="none" w:pos="809"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December 31, 2021, to which this Certification is attached as Exhibit 32.1 (the “Annual Report”), fully complies with the requirements of Section 13(a) or Section 15(d) of the Exchange Act; and</w:t>
      </w:r>
    </w:p>
    <w:p>
      <w:pPr>
        <w:spacing w:after="0" w:line="189" w:lineRule="exact"/>
        <w:rPr>
          <w:rFonts w:ascii="Arial" w:cs="Arial" w:eastAsia="Arial" w:hAnsi="Arial"/>
          <w:sz w:val="18"/>
          <w:szCs w:val="18"/>
          <w:b w:val="1"/>
          <w:bCs w:val="1"/>
          <w:color w:val="auto"/>
        </w:rPr>
      </w:pPr>
    </w:p>
    <w:p>
      <w:pPr>
        <w:ind w:left="780" w:right="100" w:hanging="768"/>
        <w:spacing w:after="0" w:line="246" w:lineRule="auto"/>
        <w:tabs>
          <w:tab w:leader="none" w:pos="809"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Dated: March 8,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8th day of March,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7"/>
                <w:szCs w:val="17"/>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J. Sullivan</w:t>
            </w:r>
          </w:p>
        </w:tc>
        <w:tc>
          <w:tcPr>
            <w:tcW w:w="760" w:type="dxa"/>
            <w:vAlign w:val="bottom"/>
          </w:tcPr>
          <w:p>
            <w:pPr>
              <w:ind w:left="2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4880" w:type="dxa"/>
            <w:vAlign w:val="bottom"/>
            <w:gridSpan w:val="3"/>
          </w:tcPr>
          <w:p>
            <w:pPr>
              <w:spacing w:after="0" w:line="195" w:lineRule="exact"/>
              <w:rPr>
                <w:sz w:val="20"/>
                <w:szCs w:val="20"/>
                <w:color w:val="auto"/>
              </w:rPr>
            </w:pPr>
            <w:r>
              <w:rPr>
                <w:rFonts w:ascii="Arial" w:cs="Arial" w:eastAsia="Arial" w:hAnsi="Arial"/>
                <w:sz w:val="18"/>
                <w:szCs w:val="18"/>
                <w:color w:val="auto"/>
              </w:rPr>
              <w:t>Name:Keith J. Sullivan</w:t>
            </w:r>
          </w:p>
        </w:tc>
        <w:tc>
          <w:tcPr>
            <w:tcW w:w="5040" w:type="dxa"/>
            <w:vAlign w:val="bottom"/>
            <w:gridSpan w:val="2"/>
          </w:tcPr>
          <w:p>
            <w:pPr>
              <w:ind w:left="200"/>
              <w:spacing w:after="0" w:line="195" w:lineRule="exact"/>
              <w:rPr>
                <w:sz w:val="20"/>
                <w:szCs w:val="20"/>
                <w:color w:val="auto"/>
              </w:rPr>
            </w:pPr>
            <w:r>
              <w:rPr>
                <w:rFonts w:ascii="Arial" w:cs="Arial" w:eastAsia="Arial" w:hAnsi="Arial"/>
                <w:sz w:val="18"/>
                <w:szCs w:val="18"/>
                <w:color w:val="auto"/>
              </w:rPr>
              <w:t>Name:Stephen Furlong</w:t>
            </w:r>
          </w:p>
        </w:tc>
      </w:tr>
      <w:tr>
        <w:trPr>
          <w:trHeight w:val="203"/>
        </w:trPr>
        <w:tc>
          <w:tcPr>
            <w:tcW w:w="4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4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President and Chief Executive Officer</w:t>
            </w:r>
          </w:p>
        </w:tc>
        <w:tc>
          <w:tcPr>
            <w:tcW w:w="760" w:type="dxa"/>
            <w:vAlign w:val="bottom"/>
          </w:tcPr>
          <w:p>
            <w:pPr>
              <w:ind w:left="200"/>
              <w:spacing w:after="0" w:line="202" w:lineRule="exact"/>
              <w:rPr>
                <w:sz w:val="20"/>
                <w:szCs w:val="20"/>
                <w:color w:val="auto"/>
              </w:rPr>
            </w:pPr>
            <w:r>
              <w:rPr>
                <w:rFonts w:ascii="Arial" w:cs="Arial" w:eastAsia="Arial" w:hAnsi="Arial"/>
                <w:sz w:val="18"/>
                <w:szCs w:val="18"/>
                <w:color w:val="auto"/>
              </w:rPr>
              <w:t>Title:</w:t>
            </w: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SVP, Chief Financial Officer and Treasurer</w:t>
            </w:r>
          </w:p>
        </w:tc>
      </w:tr>
      <w:tr>
        <w:trPr>
          <w:trHeight w:val="217"/>
        </w:trPr>
        <w:tc>
          <w:tcPr>
            <w:tcW w:w="480" w:type="dxa"/>
            <w:vAlign w:val="bottom"/>
          </w:tcPr>
          <w:p>
            <w:pPr>
              <w:spacing w:after="0"/>
              <w:rPr>
                <w:sz w:val="18"/>
                <w:szCs w:val="18"/>
                <w:color w:val="auto"/>
              </w:rPr>
            </w:pPr>
          </w:p>
        </w:tc>
        <w:tc>
          <w:tcPr>
            <w:tcW w:w="4400" w:type="dxa"/>
            <w:vAlign w:val="bottom"/>
            <w:gridSpan w:val="2"/>
          </w:tcPr>
          <w:p>
            <w:pPr>
              <w:ind w:left="60"/>
              <w:spacing w:after="0"/>
              <w:rPr>
                <w:sz w:val="20"/>
                <w:szCs w:val="20"/>
                <w:color w:val="auto"/>
              </w:rPr>
            </w:pPr>
            <w:r>
              <w:rPr>
                <w:rFonts w:ascii="Arial" w:cs="Arial" w:eastAsia="Arial" w:hAnsi="Arial"/>
                <w:sz w:val="18"/>
                <w:szCs w:val="18"/>
                <w:color w:val="auto"/>
              </w:rPr>
              <w:t>(Principal Executive Officer)</w:t>
            </w:r>
          </w:p>
        </w:tc>
        <w:tc>
          <w:tcPr>
            <w:tcW w:w="7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8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Neuronetics,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Roman"/>
      <w:start w:val="4"/>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4"/>
    </w:lvl>
  </w:abstractNum>
  <w:abstractNum w:abstractNumId="48">
    <w:nsid w:val="12E685FB"/>
    <w:multiLevelType w:val="hybridMultilevel"/>
    <w:lvl w:ilvl="0">
      <w:lvlJc w:val="left"/>
      <w:lvlText w:val="(%1)"/>
      <w:numFmt w:val="lowerRoman"/>
      <w:start w:val="5"/>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3"/>
    </w:lvl>
  </w:abstractNum>
  <w:abstractNum w:abstractNumId="51">
    <w:nsid w:val="374A3FE6"/>
    <w:multiLevelType w:val="hybridMultilevel"/>
    <w:lvl w:ilvl="0">
      <w:lvlJc w:val="left"/>
      <w:lvlText w:val="%1."/>
      <w:numFmt w:val="decimal"/>
      <w:start w:val="16"/>
    </w:lvl>
  </w:abstractNum>
  <w:abstractNum w:abstractNumId="52">
    <w:nsid w:val="4F4EF005"/>
    <w:multiLevelType w:val="hybridMultilevel"/>
    <w:lvl w:ilvl="0">
      <w:lvlJc w:val="left"/>
      <w:lvlText w:val="%1."/>
      <w:numFmt w:val="decimal"/>
      <w:start w:val="18"/>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1" Type="http://schemas.openxmlformats.org/officeDocument/2006/relationships/image" Target="media/image88.png"/><Relationship Id="rId121" Type="http://schemas.openxmlformats.org/officeDocument/2006/relationships/image" Target="media/image89.png"/><Relationship Id="rId140" Type="http://schemas.openxmlformats.org/officeDocument/2006/relationships/image" Target="media/image90.png"/><Relationship Id="rId142" Type="http://schemas.openxmlformats.org/officeDocument/2006/relationships/image" Target="media/image91.jpe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95" Type="http://schemas.openxmlformats.org/officeDocument/2006/relationships/hyperlink" Target="https://www.sec.gov/Archives/edgar/data/1227636/000119312518213686/d860069dex31.htm" TargetMode="External"/><Relationship Id="rId96" Type="http://schemas.openxmlformats.org/officeDocument/2006/relationships/hyperlink" Target="https://www.sec.gov/Archives/edgar/data/0001227636/000119312519161336/d664443dex31.htm" TargetMode="External"/><Relationship Id="rId97" Type="http://schemas.openxmlformats.org/officeDocument/2006/relationships/hyperlink" Target="https://www.sec.gov/Archives/edgar/data/1227636/000119312518213686/d860069dex32.htm" TargetMode="External"/><Relationship Id="rId98" Type="http://schemas.openxmlformats.org/officeDocument/2006/relationships/hyperlink" Target="https://www.sec.gov/Archives/edgar/data/0001227636/000119312519161336/d664443dex32.htm" TargetMode="External"/><Relationship Id="rId99" Type="http://schemas.openxmlformats.org/officeDocument/2006/relationships/hyperlink" Target="https://www.sec.gov/Archives/edgar/data/1227636/000156459020015935/stim-ex31_6.htm" TargetMode="External"/><Relationship Id="rId100" Type="http://schemas.openxmlformats.org/officeDocument/2006/relationships/hyperlink" Target="https://www.sec.gov/Archives/edgar/data/1227636/000119312518193489/d542432dex41.htm" TargetMode="External"/><Relationship Id="rId102" Type="http://schemas.openxmlformats.org/officeDocument/2006/relationships/hyperlink" Target="https://www.sec.gov/Archives/edgar/data/1227636/000119312518179910/d542432dex42.htm" TargetMode="External"/><Relationship Id="rId103" Type="http://schemas.openxmlformats.org/officeDocument/2006/relationships/hyperlink" Target="https://www.sec.gov/Archives/edgar/data/1227636/000119312518179910/d542432dex43.htm" TargetMode="External"/><Relationship Id="rId104" Type="http://schemas.openxmlformats.org/officeDocument/2006/relationships/hyperlink" Target="https://www.sec.gov/Archives/edgar/data/1227636/000156459020008464/stim-ex44_309.htm" TargetMode="External"/><Relationship Id="rId105" Type="http://schemas.openxmlformats.org/officeDocument/2006/relationships/hyperlink" Target="https://www.sec.gov/Archives/edgar/data/1227636/000119312518179910/d542432dex101.htm" TargetMode="External"/><Relationship Id="rId106" Type="http://schemas.openxmlformats.org/officeDocument/2006/relationships/hyperlink" Target="https://www.sec.gov/Archives/edgar/data/1227636/000119312518179910/d542432dex102.htm" TargetMode="External"/><Relationship Id="rId107" Type="http://schemas.openxmlformats.org/officeDocument/2006/relationships/hyperlink" Target="https://www.sec.gov/Archives/edgar/data/1227636/000119312518179910/d542432dex103.htm" TargetMode="External"/><Relationship Id="rId108" Type="http://schemas.openxmlformats.org/officeDocument/2006/relationships/hyperlink" Target="https://www.sec.gov/Archives/edgar/data/1227636/000119312518179910/d542432dex105.htm" TargetMode="External"/><Relationship Id="rId109" Type="http://schemas.openxmlformats.org/officeDocument/2006/relationships/hyperlink" Target="https://www.sec.gov/Archives/edgar/data/1227636/000119312518179910/d542432dex107.htm" TargetMode="External"/><Relationship Id="rId110" Type="http://schemas.openxmlformats.org/officeDocument/2006/relationships/hyperlink" Target="https://www.sec.gov/Archives/edgar/data/1227636/000119312520059619/d895653dex101.htm" TargetMode="External"/><Relationship Id="rId111" Type="http://schemas.openxmlformats.org/officeDocument/2006/relationships/hyperlink" Target="https://www.sec.gov/Archives/edgar/data/1227636/000119312518179910/d542432dex109.htm" TargetMode="External"/><Relationship Id="rId112" Type="http://schemas.openxmlformats.org/officeDocument/2006/relationships/hyperlink" Target="https://www.sec.gov/Archives/edgar/data/1227636/000156459018027435/stim-ex1010_49.htm" TargetMode="External"/><Relationship Id="rId113" Type="http://schemas.openxmlformats.org/officeDocument/2006/relationships/hyperlink" Target="https://www.sec.gov/Archives/edgar/data/1227636/000156459018027435/stim-ex1011_48.htm" TargetMode="External"/><Relationship Id="rId114" Type="http://schemas.openxmlformats.org/officeDocument/2006/relationships/hyperlink" Target="https://www.sec.gov/Archives/edgar/data/1227636/000119312518179910/d542432dex1012.htm" TargetMode="External"/><Relationship Id="rId115" Type="http://schemas.openxmlformats.org/officeDocument/2006/relationships/hyperlink" Target="https://www.sec.gov/Archives/edgar/data/1227636/000119312518179910/d542432dex1013.htm" TargetMode="External"/><Relationship Id="rId116" Type="http://schemas.openxmlformats.org/officeDocument/2006/relationships/hyperlink" Target="https://www.sec.gov/Archives/edgar/data/1227636/000119312518179910/d542432dex1014.htm" TargetMode="External"/><Relationship Id="rId117" Type="http://schemas.openxmlformats.org/officeDocument/2006/relationships/hyperlink" Target="https://www.sec.gov/Archives/edgar/data/1227636/000119312518179910/d542432dex1015.htm" TargetMode="External"/><Relationship Id="rId118" Type="http://schemas.openxmlformats.org/officeDocument/2006/relationships/hyperlink" Target="https://www.sec.gov/Archives/edgar/data/1227636/000119312518179910/d542432dex1016.htm" TargetMode="External"/><Relationship Id="rId119" Type="http://schemas.openxmlformats.org/officeDocument/2006/relationships/hyperlink" Target="https://www.sec.gov/Archives/edgar/data/1227636/000119312518179910/d542432dex1017.htm" TargetMode="External"/><Relationship Id="rId120" Type="http://schemas.openxmlformats.org/officeDocument/2006/relationships/hyperlink" Target="https://www.sec.gov/Archives/edgar/data/1227636/000119312518179910/d542432dex1018.htm" TargetMode="External"/><Relationship Id="rId122" Type="http://schemas.openxmlformats.org/officeDocument/2006/relationships/hyperlink" Target="https://www.sec.gov/Archives/edgar/data/1227636/000119312518193489/d542432dex1021.htm" TargetMode="External"/><Relationship Id="rId123" Type="http://schemas.openxmlformats.org/officeDocument/2006/relationships/hyperlink" Target="https://www.sec.gov/Archives/edgar/data/0001227636/000156459019029364/stim-ex102_266.htm" TargetMode="External"/><Relationship Id="rId124" Type="http://schemas.openxmlformats.org/officeDocument/2006/relationships/hyperlink" Target="https://www.sec.gov/Archives/edgar/data/0001227636/000119312519188335/d770057dex101.htm" TargetMode="External"/><Relationship Id="rId125" Type="http://schemas.openxmlformats.org/officeDocument/2006/relationships/hyperlink" Target="https://www.sec.gov/Archives/edgar/data/1227636/000119312520194758/d911672dex101.htm" TargetMode="External"/><Relationship Id="rId126" Type="http://schemas.openxmlformats.org/officeDocument/2006/relationships/hyperlink" Target="https://www.sec.gov/Archives/edgar/data/1227636/000156459020036161/stim-ex102_219.htm" TargetMode="External"/><Relationship Id="rId127" Type="http://schemas.openxmlformats.org/officeDocument/2006/relationships/hyperlink" Target="https://www.sec.gov/Archives/edgar/data/1227636/000156459020036161/stim-ex103_80.htm" TargetMode="External"/><Relationship Id="rId128" Type="http://schemas.openxmlformats.org/officeDocument/2006/relationships/hyperlink" Target="https://www.sec.gov/Archives/edgar/data/1227636/000156459020036161/stim-ex104_218.htm" TargetMode="External"/><Relationship Id="rId129" Type="http://schemas.openxmlformats.org/officeDocument/2006/relationships/hyperlink" Target="https://www.sec.gov/Archives/edgar/data/1227636/000156459020036161/stim-ex105_217.htm" TargetMode="External"/><Relationship Id="rId130" Type="http://schemas.openxmlformats.org/officeDocument/2006/relationships/hyperlink" Target="https://www.sec.gov/Archives/edgar/data/1227636/000156459020036161/stim-ex106_216.htm" TargetMode="External"/><Relationship Id="rId131" Type="http://schemas.openxmlformats.org/officeDocument/2006/relationships/hyperlink" Target="https://www.sec.gov/Archives/edgar/data/1227636/000156459020036161/stim-ex107_215.htm" TargetMode="External"/><Relationship Id="rId132" Type="http://schemas.openxmlformats.org/officeDocument/2006/relationships/hyperlink" Target="https://www.sec.gov/Archives/edgar/data/1227636/000156459020036161/stim-ex108_214.htm" TargetMode="External"/><Relationship Id="rId133" Type="http://schemas.openxmlformats.org/officeDocument/2006/relationships/hyperlink" Target="https://www.sec.gov/Archives/edgar/data/1227636/000119312521011617/d69400dex104.htm" TargetMode="External"/><Relationship Id="rId134" Type="http://schemas.openxmlformats.org/officeDocument/2006/relationships/hyperlink" Target="https://www.sec.gov/Archives/edgar/data/1227636/000119312521011617/d69400dex105.htm" TargetMode="External"/><Relationship Id="rId135" Type="http://schemas.openxmlformats.org/officeDocument/2006/relationships/hyperlink" Target="https://www.sec.gov/Archives/edgar/data/1227636/000119312521011617/d69400dex106.htm" TargetMode="External"/><Relationship Id="rId136" Type="http://schemas.openxmlformats.org/officeDocument/2006/relationships/hyperlink" Target="https://www.sec.gov/Archives/edgar/data/1227636/000119312521011617/d69400dex107.htm" TargetMode="External"/><Relationship Id="rId137" Type="http://schemas.openxmlformats.org/officeDocument/2006/relationships/hyperlink" Target="https://www.sec.gov/Archives/edgar/data/1227636/000119312521011617/d69400dex108.htm" TargetMode="External"/><Relationship Id="rId138" Type="http://schemas.openxmlformats.org/officeDocument/2006/relationships/hyperlink" Target="https://www.sec.gov/Archives/edgar/data/1227636/000119312520312769/d31454dex101.htm" TargetMode="External"/><Relationship Id="rId139" Type="http://schemas.openxmlformats.org/officeDocument/2006/relationships/hyperlink" Target="https://www.sec.gov/Archives/edgar/data/1227636/000155837022001502/stim-20220215xex10d1.htm" TargetMode="External"/><Relationship Id="rId141" Type="http://schemas.openxmlformats.org/officeDocument/2006/relationships/hyperlink" Target="https://www.sec.gov/Archives/edgar/data/1227636/000119312521292140/d14477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2022-03-08T15:34:32Z</dcterms:created>
  <dcterms:modified xsi:type="dcterms:W3CDTF">2022-03-08T15:34:32Z</dcterms:modified>
</cp:coreProperties>
</file>