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jc w:val="center"/>
        <w:ind w:right="19"/>
        <w:spacing w:after="0" w:line="238"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66040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9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96" w:lineRule="exact"/>
        <w:rPr>
          <w:sz w:val="24"/>
          <w:szCs w:val="24"/>
          <w:color w:val="auto"/>
        </w:rPr>
      </w:pPr>
    </w:p>
    <w:p>
      <w:pPr>
        <w:ind w:left="700" w:right="499" w:hanging="650"/>
        <w:spacing w:after="0" w:line="258" w:lineRule="auto"/>
        <w:tabs>
          <w:tab w:leader="none" w:pos="7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September 30, 2022</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82" w:lineRule="exact"/>
        <w:rPr>
          <w:sz w:val="24"/>
          <w:szCs w:val="24"/>
          <w:color w:val="auto"/>
        </w:rPr>
      </w:pPr>
    </w:p>
    <w:p>
      <w:pPr>
        <w:ind w:left="700" w:right="499" w:hanging="650"/>
        <w:spacing w:after="0" w:line="258" w:lineRule="auto"/>
        <w:tabs>
          <w:tab w:leader="none" w:pos="7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 to 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137795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NEURONETICS, INC.</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118745</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70" w:lineRule="exact"/>
        <w:rPr>
          <w:sz w:val="24"/>
          <w:szCs w:val="24"/>
          <w:color w:val="auto"/>
        </w:rPr>
      </w:pPr>
    </w:p>
    <w:tbl>
      <w:tblPr>
        <w:tblLayout w:type="fixed"/>
        <w:tblInd w:w="1020" w:type="dxa"/>
        <w:tblCellMar>
          <w:top w:w="0" w:type="dxa"/>
          <w:left w:w="0" w:type="dxa"/>
          <w:bottom w:w="0" w:type="dxa"/>
          <w:right w:w="0" w:type="dxa"/>
        </w:tblCellMar>
      </w:tblPr>
      <w:tr>
        <w:trPr>
          <w:trHeight w:val="172"/>
        </w:trPr>
        <w:tc>
          <w:tcPr>
            <w:tcW w:w="2760" w:type="dxa"/>
            <w:vAlign w:val="bottom"/>
          </w:tcPr>
          <w:p>
            <w:pPr>
              <w:jc w:val="center"/>
              <w:ind w:right="17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right"/>
              <w:ind w:right="375"/>
              <w:spacing w:after="0"/>
              <w:rPr>
                <w:sz w:val="20"/>
                <w:szCs w:val="20"/>
                <w:color w:val="auto"/>
              </w:rPr>
            </w:pPr>
            <w:r>
              <w:rPr>
                <w:rFonts w:ascii="Arial" w:cs="Arial" w:eastAsia="Arial" w:hAnsi="Arial"/>
                <w:sz w:val="14"/>
                <w:szCs w:val="14"/>
                <w:b w:val="1"/>
                <w:bCs w:val="1"/>
                <w:color w:val="auto"/>
              </w:rPr>
              <w:t>33-1051425</w:t>
            </w: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8"/>
              </w:rPr>
              <w:t>(State or other jurisdiction of</w:t>
            </w:r>
          </w:p>
        </w:tc>
        <w:tc>
          <w:tcPr>
            <w:tcW w:w="3780" w:type="dxa"/>
            <w:vAlign w:val="bottom"/>
          </w:tcPr>
          <w:p>
            <w:pPr>
              <w:jc w:val="center"/>
              <w:ind w:left="2055"/>
              <w:spacing w:after="0"/>
              <w:rPr>
                <w:sz w:val="20"/>
                <w:szCs w:val="20"/>
                <w:color w:val="auto"/>
              </w:rPr>
            </w:pPr>
            <w:r>
              <w:rPr>
                <w:rFonts w:ascii="Arial" w:cs="Arial" w:eastAsia="Arial" w:hAnsi="Arial"/>
                <w:sz w:val="11"/>
                <w:szCs w:val="11"/>
                <w:color w:val="auto"/>
                <w:w w:val="98"/>
              </w:rPr>
              <w:t>(I.R.S. Employer Identification No.)</w:t>
            </w:r>
          </w:p>
        </w:tc>
      </w:tr>
      <w:tr>
        <w:trPr>
          <w:trHeight w:val="135"/>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incorporation or organization)</w:t>
            </w:r>
          </w:p>
        </w:tc>
        <w:tc>
          <w:tcPr>
            <w:tcW w:w="3780" w:type="dxa"/>
            <w:vAlign w:val="bottom"/>
          </w:tcPr>
          <w:p>
            <w:pPr>
              <w:spacing w:after="0"/>
              <w:rPr>
                <w:sz w:val="11"/>
                <w:szCs w:val="11"/>
                <w:color w:val="auto"/>
              </w:rPr>
            </w:pPr>
          </w:p>
        </w:tc>
      </w:tr>
      <w:tr>
        <w:trPr>
          <w:trHeight w:val="316"/>
        </w:trPr>
        <w:tc>
          <w:tcPr>
            <w:tcW w:w="2760" w:type="dxa"/>
            <w:vAlign w:val="bottom"/>
          </w:tcPr>
          <w:p>
            <w:pPr>
              <w:jc w:val="center"/>
              <w:ind w:right="178"/>
              <w:spacing w:after="0"/>
              <w:rPr>
                <w:sz w:val="20"/>
                <w:szCs w:val="20"/>
                <w:color w:val="auto"/>
              </w:rPr>
            </w:pPr>
            <w:r>
              <w:rPr>
                <w:rFonts w:ascii="Arial" w:cs="Arial" w:eastAsia="Arial" w:hAnsi="Arial"/>
                <w:sz w:val="14"/>
                <w:szCs w:val="14"/>
                <w:b w:val="1"/>
                <w:bCs w:val="1"/>
                <w:color w:val="auto"/>
              </w:rPr>
              <w:t>3222 Phoenixville Pike, Malvern, PA</w:t>
            </w:r>
          </w:p>
        </w:tc>
        <w:tc>
          <w:tcPr>
            <w:tcW w:w="3780" w:type="dxa"/>
            <w:vAlign w:val="bottom"/>
          </w:tcPr>
          <w:p>
            <w:pPr>
              <w:jc w:val="right"/>
              <w:ind w:right="555"/>
              <w:spacing w:after="0"/>
              <w:rPr>
                <w:sz w:val="20"/>
                <w:szCs w:val="20"/>
                <w:color w:val="auto"/>
              </w:rPr>
            </w:pPr>
            <w:r>
              <w:rPr>
                <w:rFonts w:ascii="Arial" w:cs="Arial" w:eastAsia="Arial" w:hAnsi="Arial"/>
                <w:sz w:val="14"/>
                <w:szCs w:val="14"/>
                <w:b w:val="1"/>
                <w:bCs w:val="1"/>
                <w:color w:val="auto"/>
              </w:rPr>
              <w:t>19355</w:t>
            </w: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(Address of principal executive offices)</w:t>
            </w:r>
          </w:p>
        </w:tc>
        <w:tc>
          <w:tcPr>
            <w:tcW w:w="3780" w:type="dxa"/>
            <w:vAlign w:val="bottom"/>
          </w:tcPr>
          <w:p>
            <w:pPr>
              <w:jc w:val="center"/>
              <w:ind w:left="2055"/>
              <w:spacing w:after="0"/>
              <w:rPr>
                <w:sz w:val="20"/>
                <w:szCs w:val="20"/>
                <w:color w:val="auto"/>
              </w:rPr>
            </w:pPr>
            <w:r>
              <w:rPr>
                <w:rFonts w:ascii="Arial" w:cs="Arial" w:eastAsia="Arial" w:hAnsi="Arial"/>
                <w:sz w:val="11"/>
                <w:szCs w:val="11"/>
                <w:color w:val="auto"/>
                <w:w w:val="96"/>
              </w:rPr>
              <w:t>(Zip Code)</w:t>
            </w:r>
          </w:p>
        </w:tc>
      </w:tr>
      <w:tr>
        <w:trPr>
          <w:trHeight w:val="221"/>
        </w:trPr>
        <w:tc>
          <w:tcPr>
            <w:tcW w:w="2760" w:type="dxa"/>
            <w:vAlign w:val="bottom"/>
          </w:tcPr>
          <w:p>
            <w:pPr>
              <w:jc w:val="center"/>
              <w:ind w:right="158"/>
              <w:spacing w:after="0"/>
              <w:rPr>
                <w:sz w:val="20"/>
                <w:szCs w:val="20"/>
                <w:color w:val="auto"/>
              </w:rPr>
            </w:pPr>
            <w:r>
              <w:rPr>
                <w:rFonts w:ascii="Arial" w:cs="Arial" w:eastAsia="Arial" w:hAnsi="Arial"/>
                <w:sz w:val="14"/>
                <w:szCs w:val="14"/>
                <w:b w:val="1"/>
                <w:bCs w:val="1"/>
                <w:color w:val="auto"/>
              </w:rPr>
              <w:t>(610) 640-4202</w:t>
            </w:r>
          </w:p>
        </w:tc>
        <w:tc>
          <w:tcPr>
            <w:tcW w:w="3780" w:type="dxa"/>
            <w:vAlign w:val="bottom"/>
          </w:tcPr>
          <w:p>
            <w:pPr>
              <w:spacing w:after="0"/>
              <w:rPr>
                <w:sz w:val="19"/>
                <w:szCs w:val="19"/>
                <w:color w:val="auto"/>
              </w:rPr>
            </w:pP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(Registrant’s telephone number, including area code)</w:t>
            </w:r>
          </w:p>
        </w:tc>
        <w:tc>
          <w:tcPr>
            <w:tcW w:w="3780" w:type="dxa"/>
            <w:vAlign w:val="bottom"/>
          </w:tcPr>
          <w:p>
            <w:pPr>
              <w:spacing w:after="0"/>
              <w:rPr>
                <w:sz w:val="11"/>
                <w:szCs w:val="11"/>
                <w:color w:val="auto"/>
              </w:rPr>
            </w:pPr>
          </w:p>
        </w:tc>
      </w:tr>
      <w:tr>
        <w:trPr>
          <w:trHeight w:val="253"/>
        </w:trPr>
        <w:tc>
          <w:tcPr>
            <w:tcW w:w="2760" w:type="dxa"/>
            <w:vAlign w:val="bottom"/>
          </w:tcPr>
          <w:p>
            <w:pPr>
              <w:spacing w:after="0"/>
              <w:rPr>
                <w:sz w:val="22"/>
                <w:szCs w:val="22"/>
                <w:color w:val="auto"/>
              </w:rPr>
            </w:pPr>
          </w:p>
        </w:tc>
        <w:tc>
          <w:tcPr>
            <w:tcW w:w="3780" w:type="dxa"/>
            <w:vAlign w:val="bottom"/>
          </w:tcPr>
          <w:p>
            <w:pPr>
              <w:ind w:left="220"/>
              <w:spacing w:after="0"/>
              <w:rPr>
                <w:sz w:val="20"/>
                <w:szCs w:val="20"/>
                <w:color w:val="auto"/>
              </w:rPr>
            </w:pPr>
            <w:r>
              <w:rPr>
                <w:rFonts w:ascii="Arial" w:cs="Arial" w:eastAsia="Arial" w:hAnsi="Arial"/>
                <w:sz w:val="14"/>
                <w:szCs w:val="14"/>
                <w:b w:val="1"/>
                <w:bCs w:val="1"/>
                <w:color w:val="auto"/>
              </w:rPr>
              <w:t>Not applicable.</w:t>
            </w: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(Former name, former address and former fiscal year, if changed since last report)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tcPr>
          <w:p>
            <w:pPr>
              <w:spacing w:after="0"/>
              <w:rPr>
                <w:sz w:val="14"/>
                <w:szCs w:val="14"/>
                <w:color w:val="auto"/>
              </w:rPr>
            </w:pPr>
          </w:p>
        </w:tc>
      </w:tr>
      <w:tr>
        <w:trPr>
          <w:trHeight w:val="228"/>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Trading</w:t>
            </w:r>
          </w:p>
        </w:tc>
        <w:tc>
          <w:tcPr>
            <w:tcW w:w="3780" w:type="dxa"/>
            <w:vAlign w:val="bottom"/>
          </w:tcPr>
          <w:p>
            <w:pPr>
              <w:spacing w:after="0"/>
              <w:rPr>
                <w:sz w:val="19"/>
                <w:szCs w:val="19"/>
                <w:color w:val="auto"/>
              </w:rPr>
            </w:pPr>
          </w:p>
        </w:tc>
      </w:tr>
      <w:tr>
        <w:trPr>
          <w:trHeight w:val="17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 (s)</w:t>
            </w:r>
          </w:p>
        </w:tc>
        <w:tc>
          <w:tcPr>
            <w:tcW w:w="260" w:type="dxa"/>
            <w:vAlign w:val="bottom"/>
          </w:tcPr>
          <w:p>
            <w:pPr>
              <w:spacing w:after="0"/>
              <w:rPr>
                <w:sz w:val="15"/>
                <w:szCs w:val="15"/>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on each exchange on which registered</w:t>
            </w:r>
          </w:p>
        </w:tc>
      </w:tr>
      <w:tr>
        <w:trPr>
          <w:trHeight w:val="170"/>
        </w:trPr>
        <w:tc>
          <w:tcPr>
            <w:tcW w:w="3740" w:type="dxa"/>
            <w:vAlign w:val="bottom"/>
            <w:gridSpan w:val="2"/>
          </w:tcPr>
          <w:p>
            <w:pPr>
              <w:jc w:val="center"/>
              <w:ind w:right="200"/>
              <w:spacing w:after="0"/>
              <w:rPr>
                <w:sz w:val="20"/>
                <w:szCs w:val="20"/>
                <w:color w:val="auto"/>
              </w:rPr>
            </w:pPr>
            <w:r>
              <w:rPr>
                <w:rFonts w:ascii="Arial" w:cs="Arial" w:eastAsia="Arial" w:hAnsi="Arial"/>
                <w:sz w:val="14"/>
                <w:szCs w:val="14"/>
                <w:color w:val="auto"/>
              </w:rPr>
              <w:t>Common Stock ($0.01 par value)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STIM</w:t>
            </w:r>
          </w:p>
        </w:tc>
        <w:tc>
          <w:tcPr>
            <w:tcW w:w="378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110490</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61" w:lineRule="exact"/>
        <w:rPr>
          <w:sz w:val="24"/>
          <w:szCs w:val="24"/>
          <w:color w:val="auto"/>
        </w:rPr>
      </w:pPr>
    </w:p>
    <w:p>
      <w:pPr>
        <w:ind w:left="60" w:right="159"/>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60" w:right="199"/>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ind w:left="60" w:right="259"/>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1"/>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3" w:lineRule="exact"/>
        <w:rPr>
          <w:sz w:val="24"/>
          <w:szCs w:val="24"/>
          <w:color w:val="auto"/>
        </w:rPr>
      </w:pPr>
    </w:p>
    <w:p>
      <w:pPr>
        <w:ind w:left="60" w:right="7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4" w:lineRule="exact"/>
        <w:rPr>
          <w:sz w:val="24"/>
          <w:szCs w:val="24"/>
          <w:color w:val="auto"/>
        </w:rPr>
      </w:pPr>
    </w:p>
    <w:p>
      <w:pPr>
        <w:ind w:left="60"/>
        <w:spacing w:after="0"/>
        <w:rPr>
          <w:sz w:val="20"/>
          <w:szCs w:val="20"/>
          <w:color w:val="auto"/>
        </w:rPr>
      </w:pPr>
      <w:r>
        <w:rPr>
          <w:rFonts w:ascii="Arial" w:cs="Arial" w:eastAsia="Arial" w:hAnsi="Arial"/>
          <w:sz w:val="14"/>
          <w:szCs w:val="14"/>
          <w:color w:val="auto"/>
        </w:rPr>
        <w:t>There were 27,221,490 shares of the registrant’s common stock outstanding as of November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12"/>
          </w:tcPr>
          <w:p>
            <w:pPr>
              <w:jc w:val="center"/>
              <w:ind w:right="2960"/>
              <w:spacing w:after="0"/>
              <w:rPr>
                <w:sz w:val="20"/>
                <w:szCs w:val="20"/>
                <w:color w:val="auto"/>
              </w:rPr>
            </w:pPr>
            <w:r>
              <w:rPr>
                <w:rFonts w:ascii="Arial" w:cs="Arial" w:eastAsia="Arial" w:hAnsi="Arial"/>
                <w:sz w:val="18"/>
                <w:szCs w:val="18"/>
                <w:b w:val="1"/>
                <w:bCs w:val="1"/>
                <w:color w:val="auto"/>
                <w:w w:val="99"/>
              </w:rPr>
              <w:t>NEURONETICS, INC.</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40" w:type="dxa"/>
            <w:vAlign w:val="bottom"/>
            <w:gridSpan w:val="25"/>
          </w:tcPr>
          <w:p>
            <w:pPr>
              <w:jc w:val="center"/>
              <w:ind w:right="440"/>
              <w:spacing w:after="0"/>
              <w:rPr>
                <w:sz w:val="20"/>
                <w:szCs w:val="20"/>
                <w:color w:val="auto"/>
              </w:rPr>
            </w:pPr>
            <w:r>
              <w:rPr>
                <w:rFonts w:ascii="Arial" w:cs="Arial" w:eastAsia="Arial" w:hAnsi="Arial"/>
                <w:sz w:val="16"/>
                <w:szCs w:val="16"/>
                <w:b w:val="1"/>
                <w:bCs w:val="1"/>
                <w:color w:val="auto"/>
              </w:rPr>
              <w:t xml:space="preserve">Quarterly Report on </w:t>
            </w:r>
            <w:r>
              <w:rPr>
                <w:rFonts w:ascii="Arial" w:cs="Arial" w:eastAsia="Arial" w:hAnsi="Arial"/>
                <w:sz w:val="17"/>
                <w:szCs w:val="17"/>
                <w:b w:val="1"/>
                <w:bCs w:val="1"/>
                <w:color w:val="auto"/>
              </w:rPr>
              <w:t>Form</w:t>
            </w:r>
            <w:r>
              <w:rPr>
                <w:rFonts w:ascii="Arial" w:cs="Arial" w:eastAsia="Arial" w:hAnsi="Arial"/>
                <w:sz w:val="16"/>
                <w:szCs w:val="16"/>
                <w:b w:val="1"/>
                <w:bCs w:val="1"/>
                <w:color w:val="auto"/>
              </w:rPr>
              <w:t xml:space="preserve"> 10-Q for the quarterly period ended September 30, 2022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40" w:type="dxa"/>
            <w:vAlign w:val="bottom"/>
            <w:gridSpan w:val="12"/>
          </w:tcPr>
          <w:p>
            <w:pPr>
              <w:jc w:val="center"/>
              <w:ind w:right="2960"/>
              <w:spacing w:after="0"/>
              <w:rPr>
                <w:sz w:val="20"/>
                <w:szCs w:val="20"/>
                <w:color w:val="auto"/>
              </w:rPr>
            </w:pPr>
            <w:r>
              <w:rPr>
                <w:rFonts w:ascii="Arial" w:cs="Arial" w:eastAsia="Arial" w:hAnsi="Arial"/>
                <w:sz w:val="16"/>
                <w:szCs w:val="16"/>
                <w:b w:val="1"/>
                <w:bCs w:val="1"/>
                <w:color w:val="auto"/>
              </w:rPr>
              <w:t>Table of Contents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17"/>
            <w:vMerge w:val="restart"/>
          </w:tcPr>
          <w:p>
            <w:pPr>
              <w:jc w:val="center"/>
              <w:ind w:right="2360"/>
              <w:spacing w:after="0"/>
              <w:rPr>
                <w:sz w:val="20"/>
                <w:szCs w:val="20"/>
                <w:color w:val="auto"/>
              </w:rPr>
            </w:pPr>
            <w:r>
              <w:rPr>
                <w:rFonts w:ascii="Arial" w:cs="Arial" w:eastAsia="Arial" w:hAnsi="Arial"/>
                <w:sz w:val="18"/>
                <w:szCs w:val="18"/>
                <w:b w:val="1"/>
                <w:bCs w:val="1"/>
                <w:color w:val="0000EE"/>
                <w:w w:val="99"/>
              </w:rPr>
              <w:t>PART I – FINANCIAL INFORMATION</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500" w:type="dxa"/>
            <w:vAlign w:val="bottom"/>
            <w:gridSpan w:val="17"/>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80" w:type="dxa"/>
            <w:vAlign w:val="bottom"/>
            <w:gridSpan w:val="5"/>
          </w:tcPr>
          <w:p>
            <w:pPr>
              <w:spacing w:after="0"/>
              <w:rPr>
                <w:sz w:val="20"/>
                <w:szCs w:val="20"/>
                <w:color w:val="auto"/>
              </w:rPr>
            </w:pPr>
            <w:r>
              <w:rPr>
                <w:rFonts w:ascii="Arial" w:cs="Arial" w:eastAsia="Arial" w:hAnsi="Arial"/>
                <w:sz w:val="18"/>
                <w:szCs w:val="18"/>
                <w:b w:val="1"/>
                <w:bCs w:val="1"/>
                <w:color w:val="0000EE"/>
              </w:rPr>
              <w:t>Item 1.</w:t>
            </w:r>
          </w:p>
        </w:tc>
        <w:tc>
          <w:tcPr>
            <w:tcW w:w="1900" w:type="dxa"/>
            <w:vAlign w:val="bottom"/>
            <w:gridSpan w:val="10"/>
          </w:tcPr>
          <w:p>
            <w:pPr>
              <w:spacing w:after="0"/>
              <w:rPr>
                <w:sz w:val="20"/>
                <w:szCs w:val="20"/>
                <w:color w:val="auto"/>
              </w:rPr>
            </w:pPr>
            <w:r>
              <w:rPr>
                <w:rFonts w:ascii="Arial" w:cs="Arial" w:eastAsia="Arial" w:hAnsi="Arial"/>
                <w:sz w:val="18"/>
                <w:szCs w:val="18"/>
                <w:b w:val="1"/>
                <w:bCs w:val="1"/>
                <w:color w:val="0000EE"/>
              </w:rPr>
              <w:t>Financial Statements.</w:t>
            </w:r>
          </w:p>
        </w:tc>
        <w:tc>
          <w:tcPr>
            <w:tcW w:w="3060" w:type="dxa"/>
            <w:vAlign w:val="bottom"/>
            <w:tcBorders>
              <w:top w:val="single" w:sz="8" w:color="0000EE"/>
            </w:tcBorders>
            <w:gridSpan w:val="8"/>
          </w:tcPr>
          <w:p>
            <w:pPr>
              <w:spacing w:after="0"/>
              <w:rPr>
                <w:sz w:val="24"/>
                <w:szCs w:val="24"/>
                <w:color w:val="auto"/>
              </w:rPr>
            </w:pPr>
          </w:p>
        </w:tc>
        <w:tc>
          <w:tcPr>
            <w:tcW w:w="240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b w:val="1"/>
                <w:bCs w:val="1"/>
                <w:color w:val="0000EE"/>
              </w:rPr>
              <w:t>Balance Sheets as of</w:t>
            </w:r>
          </w:p>
        </w:tc>
        <w:tc>
          <w:tcPr>
            <w:tcW w:w="5500" w:type="dxa"/>
            <w:vAlign w:val="bottom"/>
            <w:gridSpan w:val="17"/>
          </w:tcPr>
          <w:p>
            <w:pPr>
              <w:spacing w:after="0" w:line="182" w:lineRule="exact"/>
              <w:rPr>
                <w:sz w:val="20"/>
                <w:szCs w:val="20"/>
                <w:color w:val="auto"/>
              </w:rPr>
            </w:pPr>
            <w:r>
              <w:rPr>
                <w:rFonts w:ascii="Arial" w:cs="Arial" w:eastAsia="Arial" w:hAnsi="Arial"/>
                <w:sz w:val="18"/>
                <w:szCs w:val="18"/>
                <w:b w:val="1"/>
                <w:bCs w:val="1"/>
                <w:color w:val="0000EE"/>
              </w:rPr>
              <w:t>September 30, 2022 and December 31, 2021</w:t>
            </w: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5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b w:val="1"/>
                <w:bCs w:val="1"/>
                <w:color w:val="0000EE"/>
              </w:rPr>
              <w:t>Statements of Operations for the Three and Nine Months ended</w:t>
            </w:r>
          </w:p>
        </w:tc>
        <w:tc>
          <w:tcPr>
            <w:tcW w:w="1780" w:type="dxa"/>
            <w:vAlign w:val="bottom"/>
            <w:gridSpan w:val="5"/>
          </w:tcPr>
          <w:p>
            <w:pPr>
              <w:spacing w:after="0" w:line="182" w:lineRule="exact"/>
              <w:rPr>
                <w:sz w:val="20"/>
                <w:szCs w:val="20"/>
                <w:color w:val="auto"/>
              </w:rPr>
            </w:pPr>
            <w:r>
              <w:rPr>
                <w:rFonts w:ascii="Arial" w:cs="Arial" w:eastAsia="Arial" w:hAnsi="Arial"/>
                <w:sz w:val="18"/>
                <w:szCs w:val="18"/>
                <w:b w:val="1"/>
                <w:bCs w:val="1"/>
                <w:color w:val="0000EE"/>
              </w:rPr>
              <w:t>September 30, 2022</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6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b w:val="1"/>
                <w:bCs w:val="1"/>
                <w:color w:val="0000EE"/>
              </w:rPr>
              <w:t>and 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b w:val="1"/>
                <w:bCs w:val="1"/>
                <w:color w:val="0000EE"/>
                <w:w w:val="78"/>
              </w:rPr>
              <w:t>Statements</w:t>
            </w:r>
          </w:p>
        </w:tc>
        <w:tc>
          <w:tcPr>
            <w:tcW w:w="220" w:type="dxa"/>
            <w:vAlign w:val="bottom"/>
          </w:tcPr>
          <w:p>
            <w:pPr>
              <w:spacing w:after="0"/>
              <w:rPr>
                <w:sz w:val="15"/>
                <w:szCs w:val="15"/>
                <w:color w:val="auto"/>
              </w:rPr>
            </w:pPr>
          </w:p>
        </w:tc>
        <w:tc>
          <w:tcPr>
            <w:tcW w:w="6360" w:type="dxa"/>
            <w:vAlign w:val="bottom"/>
            <w:gridSpan w:val="22"/>
          </w:tcPr>
          <w:p>
            <w:pPr>
              <w:ind w:left="20"/>
              <w:spacing w:after="0" w:line="182" w:lineRule="exact"/>
              <w:rPr>
                <w:sz w:val="20"/>
                <w:szCs w:val="20"/>
                <w:color w:val="auto"/>
              </w:rPr>
            </w:pPr>
            <w:r>
              <w:rPr>
                <w:rFonts w:ascii="Arial" w:cs="Arial" w:eastAsia="Arial" w:hAnsi="Arial"/>
                <w:sz w:val="18"/>
                <w:szCs w:val="18"/>
                <w:b w:val="1"/>
                <w:bCs w:val="1"/>
                <w:color w:val="0000EE"/>
              </w:rPr>
              <w:t>of Changes in Stockholders’ Equity for the Three and Nine Months ended</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8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b w:val="1"/>
                <w:bCs w:val="1"/>
                <w:color w:val="0000EE"/>
              </w:rPr>
              <w:t>September 30, 2022 and 2021</w:t>
            </w: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b w:val="1"/>
                <w:bCs w:val="1"/>
                <w:color w:val="0000EE"/>
                <w:w w:val="98"/>
              </w:rPr>
              <w:t>Statements of Cash Flows for</w:t>
            </w:r>
          </w:p>
        </w:tc>
        <w:tc>
          <w:tcPr>
            <w:tcW w:w="4840" w:type="dxa"/>
            <w:vAlign w:val="bottom"/>
            <w:gridSpan w:val="12"/>
          </w:tcPr>
          <w:p>
            <w:pPr>
              <w:ind w:left="60"/>
              <w:spacing w:after="0" w:line="182" w:lineRule="exact"/>
              <w:rPr>
                <w:sz w:val="20"/>
                <w:szCs w:val="20"/>
                <w:color w:val="auto"/>
              </w:rPr>
            </w:pPr>
            <w:r>
              <w:rPr>
                <w:rFonts w:ascii="Arial" w:cs="Arial" w:eastAsia="Arial" w:hAnsi="Arial"/>
                <w:sz w:val="18"/>
                <w:szCs w:val="18"/>
                <w:b w:val="1"/>
                <w:bCs w:val="1"/>
                <w:color w:val="0000EE"/>
              </w:rPr>
              <w:t>the Nine Months ended September 30, 2022 and 2021</w:t>
            </w: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2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b w:val="1"/>
                <w:bCs w:val="1"/>
                <w:color w:val="0000EE"/>
              </w:rPr>
              <w:t>Notes to Interim Financial Statements</w:t>
            </w:r>
          </w:p>
        </w:tc>
        <w:tc>
          <w:tcPr>
            <w:tcW w:w="240" w:type="dxa"/>
            <w:vAlign w:val="bottom"/>
            <w:gridSpan w:val="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gridSpan w:val="5"/>
            <w:vMerge w:val="restart"/>
          </w:tcPr>
          <w:p>
            <w:pPr>
              <w:spacing w:after="0"/>
              <w:rPr>
                <w:sz w:val="20"/>
                <w:szCs w:val="20"/>
                <w:color w:val="auto"/>
              </w:rPr>
            </w:pPr>
            <w:r>
              <w:rPr>
                <w:rFonts w:ascii="Arial" w:cs="Arial" w:eastAsia="Arial" w:hAnsi="Arial"/>
                <w:sz w:val="18"/>
                <w:szCs w:val="18"/>
                <w:b w:val="1"/>
                <w:bCs w:val="1"/>
                <w:color w:val="0000EE"/>
              </w:rPr>
              <w:t>Item 2.</w:t>
            </w:r>
          </w:p>
        </w:tc>
        <w:tc>
          <w:tcPr>
            <w:tcW w:w="7360" w:type="dxa"/>
            <w:vAlign w:val="bottom"/>
            <w:gridSpan w:val="26"/>
          </w:tcPr>
          <w:p>
            <w:pPr>
              <w:spacing w:after="0" w:line="182" w:lineRule="exact"/>
              <w:rPr>
                <w:sz w:val="20"/>
                <w:szCs w:val="20"/>
                <w:color w:val="auto"/>
              </w:rPr>
            </w:pPr>
            <w:r>
              <w:rPr>
                <w:rFonts w:ascii="Arial" w:cs="Arial" w:eastAsia="Arial" w:hAnsi="Arial"/>
                <w:sz w:val="18"/>
                <w:szCs w:val="18"/>
                <w:b w:val="1"/>
                <w:bCs w:val="1"/>
                <w:color w:val="0000EE"/>
              </w:rPr>
              <w:t>Management’s Discussion and Analysis of Financial Condition and Results of</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182"/>
        </w:trPr>
        <w:tc>
          <w:tcPr>
            <w:tcW w:w="980" w:type="dxa"/>
            <w:vAlign w:val="bottom"/>
            <w:gridSpan w:val="5"/>
            <w:vMerge w:val="continue"/>
          </w:tcPr>
          <w:p>
            <w:pPr>
              <w:spacing w:after="0"/>
              <w:rPr>
                <w:sz w:val="15"/>
                <w:szCs w:val="15"/>
                <w:color w:val="auto"/>
              </w:rPr>
            </w:pPr>
          </w:p>
        </w:tc>
        <w:tc>
          <w:tcPr>
            <w:tcW w:w="666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b w:val="1"/>
                <w:bCs w:val="1"/>
                <w:color w:val="0000EE"/>
              </w:rPr>
              <w:t>Operations.</w:t>
            </w:r>
          </w:p>
        </w:tc>
        <w:tc>
          <w:tcPr>
            <w:tcW w:w="700" w:type="dxa"/>
            <w:vAlign w:val="bottom"/>
            <w:gridSpan w:val="4"/>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b w:val="1"/>
                <w:bCs w:val="1"/>
                <w:color w:val="0000EE"/>
                <w:w w:val="98"/>
              </w:rPr>
              <w:t>Item 3.</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b w:val="1"/>
                <w:bCs w:val="1"/>
                <w:color w:val="0000EE"/>
                <w:w w:val="92"/>
              </w:rPr>
              <w:t>Quantitative</w:t>
            </w:r>
          </w:p>
        </w:tc>
        <w:tc>
          <w:tcPr>
            <w:tcW w:w="80" w:type="dxa"/>
            <w:vAlign w:val="bottom"/>
          </w:tcPr>
          <w:p>
            <w:pPr>
              <w:spacing w:after="0"/>
              <w:rPr>
                <w:sz w:val="15"/>
                <w:szCs w:val="15"/>
                <w:color w:val="auto"/>
              </w:rPr>
            </w:pPr>
          </w:p>
        </w:tc>
        <w:tc>
          <w:tcPr>
            <w:tcW w:w="6280" w:type="dxa"/>
            <w:vAlign w:val="bottom"/>
            <w:gridSpan w:val="21"/>
          </w:tcPr>
          <w:p>
            <w:pPr>
              <w:ind w:left="20"/>
              <w:spacing w:after="0" w:line="182" w:lineRule="exact"/>
              <w:rPr>
                <w:sz w:val="20"/>
                <w:szCs w:val="20"/>
                <w:color w:val="auto"/>
              </w:rPr>
            </w:pPr>
            <w:r>
              <w:rPr>
                <w:rFonts w:ascii="Arial" w:cs="Arial" w:eastAsia="Arial" w:hAnsi="Arial"/>
                <w:sz w:val="18"/>
                <w:szCs w:val="18"/>
                <w:b w:val="1"/>
                <w:bCs w:val="1"/>
                <w:color w:val="0000EE"/>
              </w:rPr>
              <w:t>and Qualitative Disclosures About Market Risk.</w:t>
            </w: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b w:val="1"/>
                <w:bCs w:val="1"/>
                <w:color w:val="0000EE"/>
                <w:w w:val="98"/>
              </w:rPr>
              <w:t>Item 4.</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b w:val="1"/>
                <w:bCs w:val="1"/>
                <w:color w:val="0000EE"/>
              </w:rPr>
              <w:t>Controls and Procedures.</w:t>
            </w:r>
          </w:p>
        </w:tc>
        <w:tc>
          <w:tcPr>
            <w:tcW w:w="100" w:type="dxa"/>
            <w:vAlign w:val="bottom"/>
          </w:tcPr>
          <w:p>
            <w:pPr>
              <w:spacing w:after="0"/>
              <w:rPr>
                <w:sz w:val="15"/>
                <w:szCs w:val="15"/>
                <w:color w:val="auto"/>
              </w:rPr>
            </w:pPr>
          </w:p>
        </w:tc>
        <w:tc>
          <w:tcPr>
            <w:tcW w:w="2120" w:type="dxa"/>
            <w:vAlign w:val="bottom"/>
            <w:gridSpan w:val="6"/>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320" w:type="dxa"/>
            <w:vAlign w:val="bottom"/>
            <w:gridSpan w:val="15"/>
          </w:tcPr>
          <w:p>
            <w:pPr>
              <w:jc w:val="center"/>
              <w:ind w:right="2560"/>
              <w:spacing w:after="0" w:line="182" w:lineRule="exact"/>
              <w:rPr>
                <w:sz w:val="20"/>
                <w:szCs w:val="20"/>
                <w:color w:val="auto"/>
              </w:rPr>
            </w:pPr>
            <w:r>
              <w:rPr>
                <w:rFonts w:ascii="Arial" w:cs="Arial" w:eastAsia="Arial" w:hAnsi="Arial"/>
                <w:sz w:val="18"/>
                <w:szCs w:val="18"/>
                <w:b w:val="1"/>
                <w:bCs w:val="1"/>
                <w:color w:val="0000EE"/>
                <w:w w:val="98"/>
              </w:rPr>
              <w:t>PART II – OTHER INFORMATION</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gridSpan w:val="5"/>
          </w:tcPr>
          <w:p>
            <w:pPr>
              <w:spacing w:after="0" w:line="182" w:lineRule="exact"/>
              <w:rPr>
                <w:sz w:val="20"/>
                <w:szCs w:val="20"/>
                <w:color w:val="auto"/>
              </w:rPr>
            </w:pPr>
            <w:r>
              <w:rPr>
                <w:rFonts w:ascii="Arial" w:cs="Arial" w:eastAsia="Arial" w:hAnsi="Arial"/>
                <w:sz w:val="18"/>
                <w:szCs w:val="18"/>
                <w:b w:val="1"/>
                <w:bCs w:val="1"/>
                <w:color w:val="0000EE"/>
              </w:rPr>
              <w:t>Item 1.</w:t>
            </w:r>
          </w:p>
        </w:tc>
        <w:tc>
          <w:tcPr>
            <w:tcW w:w="2040" w:type="dxa"/>
            <w:vAlign w:val="bottom"/>
            <w:gridSpan w:val="11"/>
          </w:tcPr>
          <w:p>
            <w:pPr>
              <w:spacing w:after="0" w:line="182" w:lineRule="exact"/>
              <w:rPr>
                <w:sz w:val="20"/>
                <w:szCs w:val="20"/>
                <w:color w:val="auto"/>
              </w:rPr>
            </w:pPr>
            <w:r>
              <w:rPr>
                <w:rFonts w:ascii="Arial" w:cs="Arial" w:eastAsia="Arial" w:hAnsi="Arial"/>
                <w:sz w:val="18"/>
                <w:szCs w:val="18"/>
                <w:b w:val="1"/>
                <w:bCs w:val="1"/>
                <w:color w:val="0000EE"/>
              </w:rPr>
              <w:t>Legal Proceedings.</w:t>
            </w:r>
          </w:p>
        </w:tc>
        <w:tc>
          <w:tcPr>
            <w:tcW w:w="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gridSpan w:val="3"/>
          </w:tcPr>
          <w:p>
            <w:pPr>
              <w:spacing w:after="0"/>
              <w:rPr>
                <w:sz w:val="15"/>
                <w:szCs w:val="15"/>
                <w:color w:val="auto"/>
              </w:rPr>
            </w:pPr>
          </w:p>
        </w:tc>
        <w:tc>
          <w:tcPr>
            <w:tcW w:w="2000" w:type="dxa"/>
            <w:vAlign w:val="bottom"/>
            <w:tcBorders>
              <w:top w:val="single" w:sz="8" w:color="0000EE"/>
            </w:tcBorders>
            <w:gridSpan w:val="2"/>
          </w:tcPr>
          <w:p>
            <w:pPr>
              <w:spacing w:after="0"/>
              <w:rPr>
                <w:sz w:val="15"/>
                <w:szCs w:val="15"/>
                <w:color w:val="auto"/>
              </w:rPr>
            </w:pPr>
          </w:p>
        </w:tc>
        <w:tc>
          <w:tcPr>
            <w:tcW w:w="440" w:type="dxa"/>
            <w:vAlign w:val="bottom"/>
            <w:gridSpan w:val="3"/>
          </w:tcPr>
          <w:p>
            <w:pPr>
              <w:spacing w:after="0"/>
              <w:rPr>
                <w:sz w:val="15"/>
                <w:szCs w:val="15"/>
                <w:color w:val="auto"/>
              </w:rPr>
            </w:pPr>
          </w:p>
        </w:tc>
        <w:tc>
          <w:tcPr>
            <w:tcW w:w="2120" w:type="dxa"/>
            <w:vAlign w:val="bottom"/>
            <w:gridSpan w:val="6"/>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4"/>
            <w:vMerge w:val="restart"/>
          </w:tcPr>
          <w:p>
            <w:pPr>
              <w:spacing w:after="0" w:line="20" w:lineRule="exact"/>
              <w:rPr>
                <w:sz w:val="1"/>
                <w:szCs w:val="1"/>
                <w:color w:val="auto"/>
              </w:rPr>
            </w:pPr>
          </w:p>
        </w:tc>
        <w:tc>
          <w:tcPr>
            <w:tcW w:w="680" w:type="dxa"/>
            <w:vAlign w:val="bottom"/>
            <w:gridSpan w:val="3"/>
            <w:vMerge w:val="restart"/>
          </w:tcPr>
          <w:p>
            <w:pPr>
              <w:spacing w:after="0" w:line="20" w:lineRule="exact"/>
              <w:rPr>
                <w:sz w:val="1"/>
                <w:szCs w:val="1"/>
                <w:color w:val="auto"/>
              </w:rPr>
            </w:pPr>
          </w:p>
        </w:tc>
        <w:tc>
          <w:tcPr>
            <w:tcW w:w="2440" w:type="dxa"/>
            <w:vAlign w:val="bottom"/>
            <w:gridSpan w:val="5"/>
            <w:vMerge w:val="restart"/>
          </w:tcPr>
          <w:p>
            <w:pPr>
              <w:spacing w:after="0" w:line="20" w:lineRule="exact"/>
              <w:rPr>
                <w:sz w:val="1"/>
                <w:szCs w:val="1"/>
                <w:color w:val="auto"/>
              </w:rPr>
            </w:pPr>
          </w:p>
        </w:tc>
        <w:tc>
          <w:tcPr>
            <w:tcW w:w="2120" w:type="dxa"/>
            <w:vAlign w:val="bottom"/>
            <w:gridSpan w:val="6"/>
            <w:vMerge w:val="restart"/>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60" w:type="dxa"/>
            <w:vAlign w:val="bottom"/>
            <w:gridSpan w:val="4"/>
          </w:tcPr>
          <w:p>
            <w:pPr>
              <w:spacing w:after="0" w:line="182" w:lineRule="exact"/>
              <w:rPr>
                <w:sz w:val="20"/>
                <w:szCs w:val="20"/>
                <w:color w:val="auto"/>
              </w:rPr>
            </w:pPr>
            <w:r>
              <w:rPr>
                <w:rFonts w:ascii="Arial" w:cs="Arial" w:eastAsia="Arial" w:hAnsi="Arial"/>
                <w:sz w:val="18"/>
                <w:szCs w:val="18"/>
                <w:b w:val="1"/>
                <w:bCs w:val="1"/>
                <w:color w:val="0000EE"/>
              </w:rPr>
              <w:t>Item 1A</w:t>
            </w:r>
            <w:r>
              <w:rPr>
                <w:rFonts w:ascii="Arial" w:cs="Arial" w:eastAsia="Arial" w:hAnsi="Arial"/>
                <w:sz w:val="18"/>
                <w:szCs w:val="18"/>
                <w:b w:val="1"/>
                <w:bCs w:val="1"/>
                <w:color w:val="000000"/>
              </w:rPr>
              <w:t>.</w:t>
            </w:r>
          </w:p>
        </w:tc>
        <w:tc>
          <w:tcPr>
            <w:tcW w:w="20" w:type="dxa"/>
            <w:vAlign w:val="bottom"/>
            <w:vMerge w:val="continue"/>
          </w:tcPr>
          <w:p>
            <w:pPr>
              <w:spacing w:after="0"/>
              <w:rPr>
                <w:sz w:val="15"/>
                <w:szCs w:val="15"/>
                <w:color w:val="auto"/>
              </w:rPr>
            </w:pPr>
          </w:p>
        </w:tc>
        <w:tc>
          <w:tcPr>
            <w:tcW w:w="1640" w:type="dxa"/>
            <w:vAlign w:val="bottom"/>
            <w:gridSpan w:val="7"/>
          </w:tcPr>
          <w:p>
            <w:pPr>
              <w:spacing w:after="0" w:line="182" w:lineRule="exact"/>
              <w:rPr>
                <w:sz w:val="20"/>
                <w:szCs w:val="20"/>
                <w:color w:val="auto"/>
              </w:rPr>
            </w:pPr>
            <w:r>
              <w:rPr>
                <w:rFonts w:ascii="Arial" w:cs="Arial" w:eastAsia="Arial" w:hAnsi="Arial"/>
                <w:sz w:val="18"/>
                <w:szCs w:val="18"/>
                <w:b w:val="1"/>
                <w:bCs w:val="1"/>
                <w:color w:val="0000EE"/>
              </w:rPr>
              <w:t>Risk Factors</w:t>
            </w:r>
            <w:r>
              <w:rPr>
                <w:rFonts w:ascii="Arial" w:cs="Arial" w:eastAsia="Arial" w:hAnsi="Arial"/>
                <w:sz w:val="18"/>
                <w:szCs w:val="18"/>
                <w:b w:val="1"/>
                <w:bCs w:val="1"/>
                <w:color w:val="000000"/>
              </w:rPr>
              <w:t>.</w:t>
            </w:r>
          </w:p>
        </w:tc>
        <w:tc>
          <w:tcPr>
            <w:tcW w:w="460" w:type="dxa"/>
            <w:vAlign w:val="bottom"/>
            <w:gridSpan w:val="4"/>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2120" w:type="dxa"/>
            <w:vAlign w:val="bottom"/>
            <w:gridSpan w:val="6"/>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b w:val="1"/>
                <w:bCs w:val="1"/>
                <w:color w:val="0000EE"/>
              </w:rPr>
              <w:t>Item 2.</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b w:val="1"/>
                <w:bCs w:val="1"/>
                <w:color w:val="0000EE"/>
                <w:w w:val="93"/>
              </w:rPr>
              <w:t>Unregistered</w:t>
            </w:r>
          </w:p>
        </w:tc>
        <w:tc>
          <w:tcPr>
            <w:tcW w:w="6280" w:type="dxa"/>
            <w:vAlign w:val="bottom"/>
            <w:gridSpan w:val="21"/>
          </w:tcPr>
          <w:p>
            <w:pPr>
              <w:ind w:left="80"/>
              <w:spacing w:after="0" w:line="182" w:lineRule="exact"/>
              <w:rPr>
                <w:sz w:val="20"/>
                <w:szCs w:val="20"/>
                <w:color w:val="auto"/>
              </w:rPr>
            </w:pPr>
            <w:r>
              <w:rPr>
                <w:rFonts w:ascii="Arial" w:cs="Arial" w:eastAsia="Arial" w:hAnsi="Arial"/>
                <w:sz w:val="18"/>
                <w:szCs w:val="18"/>
                <w:b w:val="1"/>
                <w:bCs w:val="1"/>
                <w:color w:val="0000EE"/>
              </w:rPr>
              <w:t>Sales of Equity Securities and Use of Proceeds.</w:t>
            </w: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b w:val="1"/>
                <w:bCs w:val="1"/>
                <w:color w:val="0000EE"/>
                <w:w w:val="98"/>
              </w:rPr>
              <w:t>Item 3.</w:t>
            </w: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b w:val="1"/>
                <w:bCs w:val="1"/>
                <w:color w:val="0000EE"/>
              </w:rPr>
              <w:t>Defaults Upon Senior Securities.</w:t>
            </w:r>
          </w:p>
        </w:tc>
        <w:tc>
          <w:tcPr>
            <w:tcW w:w="2120" w:type="dxa"/>
            <w:vAlign w:val="bottom"/>
            <w:gridSpan w:val="6"/>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b w:val="1"/>
                <w:bCs w:val="1"/>
                <w:color w:val="0000EE"/>
                <w:w w:val="98"/>
              </w:rPr>
              <w:t>Item 4.</w:t>
            </w: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b w:val="1"/>
                <w:bCs w:val="1"/>
                <w:color w:val="0000EE"/>
              </w:rPr>
              <w:t>Mine Safety Disclosures.</w:t>
            </w:r>
          </w:p>
        </w:tc>
        <w:tc>
          <w:tcPr>
            <w:tcW w:w="4560" w:type="dxa"/>
            <w:vAlign w:val="bottom"/>
            <w:gridSpan w:val="11"/>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b w:val="1"/>
                <w:bCs w:val="1"/>
                <w:color w:val="0000EE"/>
                <w:w w:val="98"/>
              </w:rPr>
              <w:t>Item 5.</w:t>
            </w: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b w:val="1"/>
                <w:bCs w:val="1"/>
                <w:color w:val="0000EE"/>
              </w:rPr>
              <w:t>Other Information.</w:t>
            </w:r>
          </w:p>
        </w:tc>
        <w:tc>
          <w:tcPr>
            <w:tcW w:w="5240" w:type="dxa"/>
            <w:vAlign w:val="bottom"/>
            <w:gridSpan w:val="14"/>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b w:val="1"/>
                <w:bCs w:val="1"/>
                <w:color w:val="0000EE"/>
                <w:w w:val="98"/>
              </w:rPr>
              <w:t>Item 6.</w:t>
            </w: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b w:val="1"/>
                <w:bCs w:val="1"/>
                <w:color w:val="0000EE"/>
              </w:rPr>
              <w:t>Exhibits.</w:t>
            </w:r>
          </w:p>
        </w:tc>
        <w:tc>
          <w:tcPr>
            <w:tcW w:w="5780" w:type="dxa"/>
            <w:vAlign w:val="bottom"/>
            <w:gridSpan w:val="19"/>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180" w:type="dxa"/>
            <w:vAlign w:val="bottom"/>
            <w:gridSpan w:val="20"/>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116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b w:val="1"/>
                <w:bCs w:val="1"/>
                <w:color w:val="0000EE"/>
                <w:w w:val="96"/>
              </w:rPr>
              <w:t>SIGNATURES</w:t>
            </w:r>
          </w:p>
        </w:tc>
        <w:tc>
          <w:tcPr>
            <w:tcW w:w="6180" w:type="dxa"/>
            <w:vAlign w:val="bottom"/>
            <w:gridSpan w:val="20"/>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 - FINANCIAL INFORMATION</w:t>
      </w:r>
    </w:p>
    <w:p>
      <w:pPr>
        <w:spacing w:after="0" w:line="183"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7"/>
          <w:szCs w:val="17"/>
          <w:b w:val="1"/>
          <w:bCs w:val="1"/>
          <w:color w:val="auto"/>
        </w:rPr>
        <w:t>Item 1.</w:t>
        <w:tab/>
        <w:t>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NEURONETICS,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Balance Sheets</w:t>
      </w:r>
    </w:p>
    <w:p>
      <w:pPr>
        <w:jc w:val="center"/>
        <w:ind w:right="19"/>
        <w:spacing w:after="0"/>
        <w:rPr>
          <w:sz w:val="20"/>
          <w:szCs w:val="20"/>
          <w:color w:val="auto"/>
        </w:rPr>
      </w:pPr>
      <w:r>
        <w:rPr>
          <w:rFonts w:ascii="Arial" w:cs="Arial" w:eastAsia="Arial" w:hAnsi="Arial"/>
          <w:sz w:val="17"/>
          <w:szCs w:val="17"/>
          <w:b w:val="1"/>
          <w:bCs w:val="1"/>
          <w:color w:val="auto"/>
        </w:rPr>
        <w:t>(Unaudited; In thousands, except per share data)</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3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40" w:type="dxa"/>
            <w:vAlign w:val="bottom"/>
            <w:gridSpan w:val="4"/>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73,698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11,963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7,706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8,573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Current portion of net investments in sales-type leases</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1,874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prepaid commission expense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Current portion of note receivables</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3,037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gridSpan w:val="3"/>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101,096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3,459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Net investments in sales-type leases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Prepaid commission expense</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7,305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6,763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note receivable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tcBorders>
              <w:bottom w:val="single" w:sz="8" w:color="CCEEFF"/>
            </w:tcBorders>
            <w:gridSpan w:val="4"/>
          </w:tcPr>
          <w:p>
            <w:pPr>
              <w:ind w:left="20"/>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3,555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72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119,235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141,223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gridSpan w:val="4"/>
            <w:vMerge w:val="restart"/>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2,350</w:t>
            </w:r>
          </w:p>
        </w:tc>
        <w:tc>
          <w:tcPr>
            <w:tcW w:w="1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1,732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gridSpan w:val="3"/>
          </w:tcPr>
          <w:p>
            <w:pPr>
              <w:ind w:left="100"/>
              <w:spacing w:after="0" w:line="202" w:lineRule="exact"/>
              <w:rPr>
                <w:sz w:val="20"/>
                <w:szCs w:val="20"/>
                <w:color w:val="auto"/>
              </w:rPr>
            </w:pPr>
            <w:r>
              <w:rPr>
                <w:rFonts w:ascii="Arial" w:cs="Arial" w:eastAsia="Arial" w:hAnsi="Arial"/>
                <w:sz w:val="18"/>
                <w:szCs w:val="18"/>
                <w:color w:val="auto"/>
              </w:rPr>
              <w:t>Current portion of long-term debt, net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8,750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25,143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Long-term debt, net</w:t>
            </w:r>
          </w:p>
        </w:tc>
        <w:tc>
          <w:tcPr>
            <w:tcW w:w="1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27,009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35,335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gridSpan w:val="4"/>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3,111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56,244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Commitments and contingencies (Note 17)</w:t>
            </w:r>
          </w:p>
        </w:tc>
        <w:tc>
          <w:tcPr>
            <w:tcW w:w="1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Preferred stock, $0.01 par value: 10,000 shares authorized; no shares issued or</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outstanding on September 30, 2022, and December 31, 2021</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Common stock, $0.01 par value: 200,000 shares authorized; 27,060 and 26,395</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shares issued and outstanding on September 30, 2022, and December 31, 2021,</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100"/>
              <w:spacing w:after="0" w:line="203" w:lineRule="exact"/>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400,323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393,644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7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(337,602)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(308,733)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gridSpan w:val="3"/>
          </w:tcPr>
          <w:p>
            <w:pPr>
              <w:ind w:left="200"/>
              <w:spacing w:after="0" w:line="196"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62,991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85,175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72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119,235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141,223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8890</wp:posOffset>
            </wp:positionV>
            <wp:extent cx="1380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4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7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50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16,498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13,799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47,008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40,290</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3,570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3,144</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11,093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12,928</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10,655</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35,915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32,175</w:t>
            </w: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11,643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27,431</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6,391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6,435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19,125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19,220</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2,348</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1,575</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6,197</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6,179</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20,382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17,837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63,299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52,830</w:t>
            </w: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(7,454)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(7,182)</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(27,384)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(20,655)</w:t>
            </w: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(906)</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(1,554)</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(7,609)</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(8,151)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(28,869)</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(23,557)</w:t>
            </w:r>
          </w:p>
        </w:tc>
        <w:tc>
          <w:tcPr>
            <w:tcW w:w="0" w:type="dxa"/>
            <w:vAlign w:val="bottom"/>
          </w:tcPr>
          <w:p>
            <w:pPr>
              <w:spacing w:after="0"/>
              <w:rPr>
                <w:sz w:val="1"/>
                <w:szCs w:val="1"/>
                <w:color w:val="auto"/>
              </w:rPr>
            </w:pPr>
          </w:p>
        </w:tc>
      </w:tr>
      <w:tr>
        <w:trPr>
          <w:trHeight w:val="182"/>
        </w:trPr>
        <w:tc>
          <w:tcPr>
            <w:tcW w:w="5040" w:type="dxa"/>
            <w:vAlign w:val="bottom"/>
          </w:tcPr>
          <w:p>
            <w:pPr>
              <w:ind w:left="20"/>
              <w:spacing w:after="0" w:line="182" w:lineRule="exact"/>
              <w:rPr>
                <w:sz w:val="20"/>
                <w:szCs w:val="20"/>
                <w:color w:val="auto"/>
              </w:rPr>
            </w:pPr>
            <w:r>
              <w:rPr>
                <w:rFonts w:ascii="Arial" w:cs="Arial" w:eastAsia="Arial" w:hAnsi="Arial"/>
                <w:sz w:val="18"/>
                <w:szCs w:val="18"/>
                <w:color w:val="auto"/>
              </w:rPr>
              <w:t>Net loss per share of common stock outstanding, basic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(0.28)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31)</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08)</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94)</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line="190" w:lineRule="exact"/>
              <w:rPr>
                <w:sz w:val="20"/>
                <w:szCs w:val="20"/>
                <w:color w:val="auto"/>
              </w:rPr>
            </w:pPr>
            <w:r>
              <w:rPr>
                <w:rFonts w:ascii="Arial" w:cs="Arial" w:eastAsia="Arial" w:hAnsi="Arial"/>
                <w:sz w:val="18"/>
                <w:szCs w:val="18"/>
                <w:color w:val="auto"/>
              </w:rPr>
              <w:t>diluted</w:t>
            </w:r>
          </w:p>
        </w:tc>
        <w:tc>
          <w:tcPr>
            <w:tcW w:w="14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0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Weighted-average common shares outstanding, basic and</w:t>
            </w: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26,965</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26,301</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26,797</w:t>
            </w: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25,179</w:t>
            </w:r>
          </w:p>
        </w:tc>
        <w:tc>
          <w:tcPr>
            <w:tcW w:w="0" w:type="dxa"/>
            <w:vAlign w:val="bottom"/>
          </w:tcPr>
          <w:p>
            <w:pPr>
              <w:spacing w:after="0"/>
              <w:rPr>
                <w:sz w:val="1"/>
                <w:szCs w:val="1"/>
                <w:color w:val="auto"/>
              </w:rPr>
            </w:pPr>
          </w:p>
        </w:tc>
      </w:tr>
      <w:tr>
        <w:trPr>
          <w:trHeight w:val="190"/>
        </w:trPr>
        <w:tc>
          <w:tcPr>
            <w:tcW w:w="504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Changes in Stockholders’ Equity</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91"/>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3820" w:type="dxa"/>
            <w:vAlign w:val="bottom"/>
          </w:tcPr>
          <w:p>
            <w:pPr>
              <w:spacing w:after="0"/>
              <w:rPr>
                <w:sz w:val="15"/>
                <w:szCs w:val="15"/>
                <w:color w:val="auto"/>
              </w:rPr>
            </w:pPr>
          </w:p>
        </w:tc>
        <w:tc>
          <w:tcPr>
            <w:tcW w:w="188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820" w:type="dxa"/>
            <w:vAlign w:val="bottom"/>
          </w:tcPr>
          <w:p>
            <w:pPr>
              <w:spacing w:after="0"/>
              <w:rPr>
                <w:sz w:val="13"/>
                <w:szCs w:val="13"/>
                <w:color w:val="auto"/>
              </w:rPr>
            </w:pPr>
          </w:p>
        </w:tc>
        <w:tc>
          <w:tcPr>
            <w:tcW w:w="8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06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11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60" w:type="dxa"/>
            <w:vAlign w:val="bottom"/>
          </w:tcPr>
          <w:p>
            <w:pPr>
              <w:jc w:val="center"/>
              <w:ind w:right="131"/>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19,114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$ 302,842</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(277,540)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25,493</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1,581</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1,592</w:t>
            </w:r>
          </w:p>
        </w:tc>
      </w:tr>
      <w:tr>
        <w:trPr>
          <w:trHeight w:val="202"/>
        </w:trPr>
        <w:tc>
          <w:tcPr>
            <w:tcW w:w="3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net of issuance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38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costs of $401</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80,515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80,571</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(7,881)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(7,881)</w:t>
            </w:r>
          </w:p>
        </w:tc>
      </w:tr>
      <w:tr>
        <w:trPr>
          <w:trHeight w:val="236"/>
        </w:trPr>
        <w:tc>
          <w:tcPr>
            <w:tcW w:w="38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March 31, 2021</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25,756</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$ 387,134</w:t>
            </w:r>
          </w:p>
        </w:tc>
        <w:tc>
          <w:tcPr>
            <w:tcW w:w="16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(285,421)</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101,971</w:t>
            </w:r>
          </w:p>
        </w:tc>
      </w:tr>
      <w:tr>
        <w:trPr>
          <w:trHeight w:val="183"/>
        </w:trPr>
        <w:tc>
          <w:tcPr>
            <w:tcW w:w="38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711</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(7,525)</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(7,525)</w:t>
            </w:r>
          </w:p>
        </w:tc>
      </w:tr>
      <w:tr>
        <w:trPr>
          <w:trHeight w:val="236"/>
        </w:trPr>
        <w:tc>
          <w:tcPr>
            <w:tcW w:w="38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June 30, 2021</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26,167</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w:t>
            </w:r>
          </w:p>
        </w:tc>
        <w:tc>
          <w:tcPr>
            <w:tcW w:w="1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$ 389,850</w:t>
            </w:r>
          </w:p>
        </w:tc>
        <w:tc>
          <w:tcPr>
            <w:tcW w:w="16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(292,946)</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97,166</w:t>
            </w:r>
          </w:p>
        </w:tc>
      </w:tr>
      <w:tr>
        <w:trPr>
          <w:trHeight w:val="183"/>
        </w:trPr>
        <w:tc>
          <w:tcPr>
            <w:tcW w:w="38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100</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1,961</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1,961</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(8,151)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(8,151)</w:t>
            </w:r>
          </w:p>
        </w:tc>
      </w:tr>
      <w:tr>
        <w:trPr>
          <w:trHeight w:val="236"/>
        </w:trPr>
        <w:tc>
          <w:tcPr>
            <w:tcW w:w="38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September 30, 2021</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26,335</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w:t>
            </w:r>
          </w:p>
        </w:tc>
        <w:tc>
          <w:tcPr>
            <w:tcW w:w="1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$ 391,910</w:t>
            </w:r>
          </w:p>
        </w:tc>
        <w:tc>
          <w:tcPr>
            <w:tcW w:w="16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(301,097)</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91,076</w:t>
            </w:r>
          </w:p>
        </w:tc>
      </w:tr>
      <w:tr>
        <w:trPr>
          <w:trHeight w:val="183"/>
        </w:trPr>
        <w:tc>
          <w:tcPr>
            <w:tcW w:w="38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2"/>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Balance at December 31, 2021</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26,395</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$ 393,644</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9"/>
              </w:rPr>
              <w:t>$ (308,733)</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85,175</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2,252</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2,252</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(10,838)</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(10,838)</w:t>
            </w:r>
          </w:p>
        </w:tc>
      </w:tr>
      <w:tr>
        <w:trPr>
          <w:trHeight w:val="236"/>
        </w:trPr>
        <w:tc>
          <w:tcPr>
            <w:tcW w:w="38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March 31, 2022</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26,717</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w:t>
            </w:r>
          </w:p>
        </w:tc>
        <w:tc>
          <w:tcPr>
            <w:tcW w:w="1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$ 395,902</w:t>
            </w:r>
          </w:p>
        </w:tc>
        <w:tc>
          <w:tcPr>
            <w:tcW w:w="16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(319,571)</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76,598</w:t>
            </w:r>
          </w:p>
        </w:tc>
      </w:tr>
      <w:tr>
        <w:trPr>
          <w:trHeight w:val="183"/>
        </w:trPr>
        <w:tc>
          <w:tcPr>
            <w:tcW w:w="38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43</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2,203</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2,203</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(10,422)</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(10,422)</w:t>
            </w:r>
          </w:p>
        </w:tc>
      </w:tr>
      <w:tr>
        <w:trPr>
          <w:trHeight w:val="236"/>
        </w:trPr>
        <w:tc>
          <w:tcPr>
            <w:tcW w:w="38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June 30, 2022</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26,856</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w:t>
            </w:r>
          </w:p>
        </w:tc>
        <w:tc>
          <w:tcPr>
            <w:tcW w:w="1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$ 398,147</w:t>
            </w:r>
          </w:p>
        </w:tc>
        <w:tc>
          <w:tcPr>
            <w:tcW w:w="16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(329,993)</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68,422</w:t>
            </w:r>
          </w:p>
        </w:tc>
      </w:tr>
      <w:tr>
        <w:trPr>
          <w:trHeight w:val="183"/>
        </w:trPr>
        <w:tc>
          <w:tcPr>
            <w:tcW w:w="38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2,178</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2,178</w:t>
            </w: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(7,609)</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(7,609)</w:t>
            </w:r>
          </w:p>
        </w:tc>
      </w:tr>
      <w:tr>
        <w:trPr>
          <w:trHeight w:val="196"/>
        </w:trPr>
        <w:tc>
          <w:tcPr>
            <w:tcW w:w="3820" w:type="dxa"/>
            <w:vAlign w:val="bottom"/>
          </w:tcPr>
          <w:p>
            <w:pPr>
              <w:ind w:left="20"/>
              <w:spacing w:after="0" w:line="196" w:lineRule="exact"/>
              <w:rPr>
                <w:sz w:val="20"/>
                <w:szCs w:val="20"/>
                <w:color w:val="auto"/>
              </w:rPr>
            </w:pPr>
            <w:r>
              <w:rPr>
                <w:rFonts w:ascii="Arial" w:cs="Arial" w:eastAsia="Arial" w:hAnsi="Arial"/>
                <w:sz w:val="18"/>
                <w:szCs w:val="18"/>
                <w:color w:val="auto"/>
              </w:rPr>
              <w:t>Balance at September 30, 2022</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27,060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w:t>
            </w:r>
          </w:p>
        </w:tc>
        <w:tc>
          <w:tcPr>
            <w:tcW w:w="16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$ 400,323</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(337,602)</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62,991</w:t>
            </w: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Statements of Cash Flows</w:t>
      </w:r>
    </w:p>
    <w:p>
      <w:pPr>
        <w:ind w:left="3380"/>
        <w:spacing w:after="0"/>
        <w:rPr>
          <w:sz w:val="20"/>
          <w:szCs w:val="20"/>
          <w:color w:val="auto"/>
        </w:rPr>
      </w:pPr>
      <w:r>
        <w:rPr>
          <w:rFonts w:ascii="Arial" w:cs="Arial" w:eastAsia="Arial" w:hAnsi="Arial"/>
          <w:sz w:val="18"/>
          <w:szCs w:val="18"/>
          <w:b w:val="1"/>
          <w:bCs w:val="1"/>
          <w:color w:val="auto"/>
        </w:rPr>
        <w:t>(Unaudited; 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220" w:type="dxa"/>
            <w:vAlign w:val="bottom"/>
          </w:tcPr>
          <w:p>
            <w:pPr>
              <w:spacing w:after="0"/>
              <w:rPr>
                <w:sz w:val="18"/>
                <w:szCs w:val="18"/>
                <w:color w:val="auto"/>
              </w:rPr>
            </w:pPr>
          </w:p>
        </w:tc>
        <w:tc>
          <w:tcPr>
            <w:tcW w:w="2760" w:type="dxa"/>
            <w:vAlign w:val="bottom"/>
            <w:gridSpan w:val="6"/>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(28,869)</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(23,557)</w:t>
            </w: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6,633</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rental units purchased by customers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220"/>
              <w:spacing w:after="0"/>
              <w:rPr>
                <w:sz w:val="20"/>
                <w:szCs w:val="20"/>
                <w:color w:val="auto"/>
              </w:rPr>
            </w:pPr>
            <w:r>
              <w:rPr>
                <w:rFonts w:ascii="Arial" w:cs="Arial" w:eastAsia="Arial" w:hAnsi="Arial"/>
                <w:sz w:val="16"/>
                <w:szCs w:val="16"/>
                <w:color w:val="auto"/>
              </w:rPr>
              <w:t>Changes in certain assets and liabilities: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(4,257)</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(3,097)</w:t>
            </w:r>
          </w:p>
        </w:tc>
        <w:tc>
          <w:tcPr>
            <w:tcW w:w="0" w:type="dxa"/>
            <w:vAlign w:val="bottom"/>
          </w:tcPr>
          <w:p>
            <w:pPr>
              <w:spacing w:after="0"/>
              <w:rPr>
                <w:sz w:val="1"/>
                <w:szCs w:val="1"/>
                <w:color w:val="auto"/>
              </w:rPr>
            </w:pPr>
          </w:p>
        </w:tc>
      </w:tr>
      <w:tr>
        <w:trPr>
          <w:trHeight w:val="189"/>
        </w:trPr>
        <w:tc>
          <w:tcPr>
            <w:tcW w:w="622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(2,299)</w:t>
            </w:r>
          </w:p>
        </w:tc>
        <w:tc>
          <w:tcPr>
            <w:tcW w:w="2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(1,870)</w:t>
            </w: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investments in sales-type leases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340"/>
              <w:spacing w:after="0"/>
              <w:rPr>
                <w:sz w:val="20"/>
                <w:szCs w:val="20"/>
                <w:color w:val="auto"/>
              </w:rPr>
            </w:pPr>
            <w:r>
              <w:rPr>
                <w:rFonts w:ascii="Arial" w:cs="Arial" w:eastAsia="Arial" w:hAnsi="Arial"/>
                <w:sz w:val="16"/>
                <w:szCs w:val="16"/>
                <w:color w:val="auto"/>
              </w:rPr>
              <w:t>Prepaid commission expense</w:t>
            </w: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(854)</w:t>
            </w:r>
          </w:p>
        </w:tc>
        <w:tc>
          <w:tcPr>
            <w:tcW w:w="2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189"/>
        </w:trPr>
        <w:tc>
          <w:tcPr>
            <w:tcW w:w="62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(2,199)</w:t>
            </w:r>
          </w:p>
        </w:tc>
        <w:tc>
          <w:tcPr>
            <w:tcW w:w="2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89"/>
        </w:trPr>
        <w:tc>
          <w:tcPr>
            <w:tcW w:w="62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0"/>
        </w:trPr>
        <w:tc>
          <w:tcPr>
            <w:tcW w:w="622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2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(27,639)</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(23,459)</w:t>
            </w:r>
          </w:p>
        </w:tc>
        <w:tc>
          <w:tcPr>
            <w:tcW w:w="0" w:type="dxa"/>
            <w:vAlign w:val="bottom"/>
          </w:tcPr>
          <w:p>
            <w:pPr>
              <w:spacing w:after="0"/>
              <w:rPr>
                <w:sz w:val="1"/>
                <w:szCs w:val="1"/>
                <w:color w:val="auto"/>
              </w:rPr>
            </w:pPr>
          </w:p>
        </w:tc>
      </w:tr>
      <w:tr>
        <w:trPr>
          <w:trHeight w:val="183"/>
        </w:trPr>
        <w:tc>
          <w:tcPr>
            <w:tcW w:w="6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120"/>
              <w:spacing w:after="0"/>
              <w:rPr>
                <w:sz w:val="20"/>
                <w:szCs w:val="20"/>
                <w:color w:val="auto"/>
              </w:rPr>
            </w:pPr>
            <w:r>
              <w:rPr>
                <w:rFonts w:ascii="Arial" w:cs="Arial" w:eastAsia="Arial" w:hAnsi="Arial"/>
                <w:sz w:val="16"/>
                <w:szCs w:val="16"/>
                <w:color w:val="auto"/>
              </w:rPr>
              <w:t>Purchases of property and equipment and capitalized software</w:t>
            </w: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(2,766)</w:t>
            </w:r>
          </w:p>
        </w:tc>
        <w:tc>
          <w:tcPr>
            <w:tcW w:w="2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(Issuance) of promissory note</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(7,486)</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44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7,234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(9,038)</w:t>
            </w:r>
          </w:p>
        </w:tc>
        <w:tc>
          <w:tcPr>
            <w:tcW w:w="0" w:type="dxa"/>
            <w:vAlign w:val="bottom"/>
          </w:tcPr>
          <w:p>
            <w:pPr>
              <w:spacing w:after="0"/>
              <w:rPr>
                <w:sz w:val="1"/>
                <w:szCs w:val="1"/>
                <w:color w:val="auto"/>
              </w:rPr>
            </w:pPr>
          </w:p>
        </w:tc>
      </w:tr>
      <w:tr>
        <w:trPr>
          <w:trHeight w:val="183"/>
        </w:trPr>
        <w:tc>
          <w:tcPr>
            <w:tcW w:w="6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debt issuance costs</w:t>
            </w: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220" w:type="dxa"/>
            <w:vAlign w:val="bottom"/>
          </w:tcPr>
          <w:p>
            <w:pPr>
              <w:ind w:left="120"/>
              <w:spacing w:after="0"/>
              <w:rPr>
                <w:sz w:val="20"/>
                <w:szCs w:val="20"/>
                <w:color w:val="auto"/>
              </w:rPr>
            </w:pPr>
            <w:r>
              <w:rPr>
                <w:rFonts w:ascii="Arial" w:cs="Arial" w:eastAsia="Arial" w:hAnsi="Arial"/>
                <w:sz w:val="16"/>
                <w:szCs w:val="16"/>
                <w:color w:val="auto"/>
              </w:rPr>
              <w:t>Proceeds from exercises of stock options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the issuance of common stock</w:t>
            </w: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80,972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120"/>
              <w:spacing w:after="0"/>
              <w:rPr>
                <w:sz w:val="20"/>
                <w:szCs w:val="20"/>
                <w:color w:val="auto"/>
              </w:rPr>
            </w:pPr>
            <w:r>
              <w:rPr>
                <w:rFonts w:ascii="Arial" w:cs="Arial" w:eastAsia="Arial" w:hAnsi="Arial"/>
                <w:sz w:val="16"/>
                <w:szCs w:val="16"/>
                <w:color w:val="auto"/>
              </w:rPr>
              <w:t>Payments of common stock offering issuance costs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183"/>
        </w:trPr>
        <w:tc>
          <w:tcPr>
            <w:tcW w:w="6220" w:type="dxa"/>
            <w:vAlign w:val="bottom"/>
            <w:tcBorders>
              <w:top w:val="single" w:sz="8" w:color="CCEEFF"/>
            </w:tcBorders>
            <w:shd w:val="clear" w:color="auto" w:fill="CCEEFF"/>
          </w:tcPr>
          <w:p>
            <w:pPr>
              <w:ind w:left="440"/>
              <w:spacing w:after="0" w:line="183" w:lineRule="exact"/>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82,974</w:t>
            </w: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20" w:type="dxa"/>
            <w:vAlign w:val="bottom"/>
          </w:tcPr>
          <w:p>
            <w:pPr>
              <w:ind w:left="440"/>
              <w:spacing w:after="0" w:line="183" w:lineRule="exact"/>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tcPr>
          <w:p>
            <w:pPr>
              <w:spacing w:after="0"/>
              <w:rPr>
                <w:sz w:val="15"/>
                <w:szCs w:val="15"/>
                <w:color w:val="auto"/>
              </w:rPr>
            </w:pPr>
          </w:p>
        </w:tc>
        <w:tc>
          <w:tcPr>
            <w:tcW w:w="122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(20,443)</w:t>
            </w:r>
          </w:p>
        </w:tc>
        <w:tc>
          <w:tcPr>
            <w:tcW w:w="26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50,477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94,141</w:t>
            </w:r>
          </w:p>
        </w:tc>
        <w:tc>
          <w:tcPr>
            <w:tcW w:w="2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48,957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tcPr>
          <w:p>
            <w:pPr>
              <w:ind w:left="440"/>
              <w:spacing w:after="0" w:line="183" w:lineRule="exact"/>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73,698</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99,434</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22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Supplemental disclosure of cash flow information:</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120"/>
              <w:spacing w:after="0"/>
              <w:rPr>
                <w:sz w:val="20"/>
                <w:szCs w:val="20"/>
                <w:color w:val="auto"/>
              </w:rPr>
            </w:pPr>
            <w:r>
              <w:rPr>
                <w:rFonts w:ascii="Arial" w:cs="Arial" w:eastAsia="Arial" w:hAnsi="Arial"/>
                <w:sz w:val="16"/>
                <w:szCs w:val="16"/>
                <w:color w:val="auto"/>
              </w:rPr>
              <w:t>Cash paid for interest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2,525</w:t>
            </w:r>
          </w:p>
        </w:tc>
        <w:tc>
          <w:tcPr>
            <w:tcW w:w="22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 of Inventory to PP&amp;E</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and equipment and capitalized software in accounts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payable and accrued expenses</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120"/>
              <w:spacing w:after="0"/>
              <w:rPr>
                <w:sz w:val="20"/>
                <w:szCs w:val="20"/>
                <w:color w:val="auto"/>
              </w:rPr>
            </w:pPr>
            <w:r>
              <w:rPr>
                <w:rFonts w:ascii="Arial" w:cs="Arial" w:eastAsia="Arial" w:hAnsi="Arial"/>
                <w:sz w:val="16"/>
                <w:szCs w:val="16"/>
                <w:color w:val="auto"/>
              </w:rPr>
              <w:t>Reduction of accounts receivable in long-term note receivable</w:t>
            </w:r>
          </w:p>
        </w:tc>
        <w:tc>
          <w:tcPr>
            <w:tcW w:w="26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30" w:right="14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460" w:hanging="410"/>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0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Neuronetics, Inc., or the Company, is a commercial stage medical technology company focused on designing, developing and marketing products that improve the quality of life for patients who suffer from neurohealth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Our NeuroStar Advanced Therapy system was also cleared in 2022 by the FDA to treat people suffering from obsessive-compulsive disorder as well as for the treatment of comorbid anxiety symptoms for adults with MDD suffering from anxiety symptoms (“anxious depression”). NeuroStar Advanced Therapy is also available in other parts of the world, including Japan, where it is listed under Japan’s national health insurance. The Company intends to continue to pursue development of its NeuroStar Advanced Therapy System for additional indications.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is continuing to monitor the impact of the COVID-19 pandemic on all aspects of its business and geographies, including how it will continue to impact the Company’s customers, supply chain, employees and other business partners. While the Company experienced significant disruptions in March 2020 through the end of September 30, 2022 from the COVID-19 pandemic, it is unable to predict the full impact that the pandemic may have on its financial condition, results of operations and cash flows due to numerous uncertainties. These uncertainties include the scope, severity and duration of the ongoing pandemic, the actions taken to contain the pandemic or mitigate its impact and the direct and indirect economic effects of the pandemic, vaccination rates, effectiveness of treatments, and containment measures, among others. The pandemic has significantly adversely impacted global economic activity and has contributed to significant volatility and negative pressure in financial markets, and may contribute to periods of economic uncertainty in the future.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193"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As of September 30, 2022, the Company had cash and cash equivalents of $73.7 million and an accumulated deficit of $337.6 million. The Company incurred negative cash flows from operating activities of $27.6 million for the nine months ended September 30, 2022 and $28.0 million for the year ended December 31, 2021. The Company has incurred operating losses since its inception, and management anticipates that its operating losses will continue in the near term as the Company continues to invest in sales, marketing and product development activities. The Company’s primary sources of capital to date have been proceeds from its initial public offering (“IPO”) of common stock, private placements of its convertible preferred securities, borrowings under its credit facility, proceeds from its secondary public offering of common stock and revenues from sales of its products. As of September 30, 2022, the Company had $35.0 million of borrowings outstanding under its credit facility, which has a final maturity in February 2025. Management believes that the Company’s cash and cash equivalents as of September 30, 2022, and anticipated revenues from sales of its products are sufficient to fund the Company’s operations for at least the next 12 months from the issuance of these financial statements.</w:t>
      </w:r>
    </w:p>
    <w:p>
      <w:pPr>
        <w:spacing w:after="0" w:line="144" w:lineRule="exact"/>
        <w:rPr>
          <w:sz w:val="20"/>
          <w:szCs w:val="20"/>
          <w:color w:val="auto"/>
        </w:rPr>
      </w:pPr>
    </w:p>
    <w:p>
      <w:pPr>
        <w:ind w:left="460" w:hanging="410"/>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Interim Financial Statements</w:t>
      </w:r>
    </w:p>
    <w:p>
      <w:pPr>
        <w:spacing w:after="0" w:line="20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accompanying unaudited interim financial statements have been prepared from the books and records of the Company in accordance with GAAP for interim financial information and Rule 10-01 of Regulation S-X 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and stockholders’ equity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and nine months ended September 30, 2022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8, 2022, wherein a more complete discussion of significant accounting policies and certain other information can be found.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including those related to the COVID-19 pandemic, and given the subjective element of the estimates and assumptions made, actual results may differ materially from estimated results.</w:t>
      </w:r>
    </w:p>
    <w:p>
      <w:pPr>
        <w:spacing w:after="0" w:line="154" w:lineRule="exact"/>
        <w:rPr>
          <w:sz w:val="20"/>
          <w:szCs w:val="20"/>
          <w:color w:val="auto"/>
        </w:rPr>
      </w:pPr>
    </w:p>
    <w:p>
      <w:pPr>
        <w:ind w:left="460" w:hanging="410"/>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7"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The Company’s complete summary of significant accounting policies can be found in “Note 3. Summary of Significant Accounting Policies” in the audited financial statements included in the Company’s Form 10-K filed with the SEC on March 8, 2022.</w:t>
      </w:r>
    </w:p>
    <w:p>
      <w:pPr>
        <w:spacing w:after="0" w:line="154" w:lineRule="exact"/>
        <w:rPr>
          <w:sz w:val="20"/>
          <w:szCs w:val="20"/>
          <w:color w:val="auto"/>
        </w:rPr>
      </w:pPr>
    </w:p>
    <w:p>
      <w:pPr>
        <w:ind w:left="460" w:hanging="410"/>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Standards Not Yet Adopted by the Company</w:t>
      </w:r>
    </w:p>
    <w:p>
      <w:pPr>
        <w:spacing w:after="0" w:line="175" w:lineRule="exact"/>
        <w:rPr>
          <w:sz w:val="20"/>
          <w:szCs w:val="20"/>
          <w:color w:val="auto"/>
        </w:rPr>
      </w:pPr>
    </w:p>
    <w:p>
      <w:pPr>
        <w:ind w:left="60" w:right="79"/>
        <w:spacing w:after="0" w:line="264"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2016-13, Financial Instruments - Credit Losses (Topic 326):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Credit Losses on Financial Instruments </w:t>
      </w:r>
      <w:r>
        <w:rPr>
          <w:rFonts w:ascii="Arial" w:cs="Arial" w:eastAsia="Arial" w:hAnsi="Arial"/>
          <w:sz w:val="17"/>
          <w:szCs w:val="17"/>
          <w:color w:val="auto"/>
        </w:rPr>
        <w:t>(</w:t>
      </w:r>
      <w:r>
        <w:rPr>
          <w:rFonts w:ascii="Arial" w:cs="Arial" w:eastAsia="Arial" w:hAnsi="Arial"/>
          <w:sz w:val="17"/>
          <w:szCs w:val="17"/>
          <w:i w:val="1"/>
          <w:iCs w:val="1"/>
          <w:color w:val="auto"/>
        </w:rPr>
        <w:t>“Topic 326”</w:t>
      </w:r>
      <w:r>
        <w:rPr>
          <w:rFonts w:ascii="Arial" w:cs="Arial" w:eastAsia="Arial" w:hAnsi="Arial"/>
          <w:sz w:val="17"/>
          <w:szCs w:val="17"/>
          <w:color w:val="auto"/>
        </w:rPr>
        <w:t>). This ASU provides guidance for recognizing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losses on financial instruments based on an estimate of current expected credit losses model. The FASB subsequently issued </w:t>
      </w:r>
      <w:r>
        <w:rPr>
          <w:rFonts w:ascii="Arial" w:cs="Arial" w:eastAsia="Arial" w:hAnsi="Arial"/>
          <w:sz w:val="17"/>
          <w:szCs w:val="17"/>
          <w:i w:val="1"/>
          <w:iCs w:val="1"/>
          <w:color w:val="auto"/>
        </w:rPr>
        <w:t>ASU 2019-04,</w:t>
      </w:r>
      <w:r>
        <w:rPr>
          <w:rFonts w:ascii="Arial" w:cs="Arial" w:eastAsia="Arial" w:hAnsi="Arial"/>
          <w:sz w:val="17"/>
          <w:szCs w:val="17"/>
          <w:color w:val="auto"/>
        </w:rPr>
        <w:t xml:space="preserve"> to clarify and address certain items related to the amendments in Topic 326.</w:t>
      </w:r>
    </w:p>
    <w:p>
      <w:pPr>
        <w:spacing w:after="0" w:line="139"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i w:val="1"/>
          <w:iCs w:val="1"/>
          <w:color w:val="auto"/>
        </w:rPr>
        <w:t>ASU 2019-05, Financial Instruments - Credit Losses (Topic 326)</w:t>
      </w:r>
      <w:r>
        <w:rPr>
          <w:rFonts w:ascii="Arial" w:cs="Arial" w:eastAsia="Arial" w:hAnsi="Arial"/>
          <w:sz w:val="18"/>
          <w:szCs w:val="18"/>
          <w:color w:val="auto"/>
        </w:rPr>
        <w:t>:</w:t>
      </w:r>
      <w:r>
        <w:rPr>
          <w:rFonts w:ascii="Arial" w:cs="Arial" w:eastAsia="Arial" w:hAnsi="Arial"/>
          <w:sz w:val="18"/>
          <w:szCs w:val="18"/>
          <w:i w:val="1"/>
          <w:iCs w:val="1"/>
          <w:color w:val="auto"/>
        </w:rPr>
        <w:t xml:space="preserve"> Targeted Transition Relief</w:t>
      </w:r>
      <w:r>
        <w:rPr>
          <w:rFonts w:ascii="Arial" w:cs="Arial" w:eastAsia="Arial" w:hAnsi="Arial"/>
          <w:sz w:val="18"/>
          <w:szCs w:val="18"/>
          <w:color w:val="auto"/>
        </w:rPr>
        <w:t>, was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 entities that have certain instruments within the scope of ASC 326 with an option to irrevocably elect the fair value option under </w:t>
      </w:r>
      <w:r>
        <w:rPr>
          <w:rFonts w:ascii="Arial" w:cs="Arial" w:eastAsia="Arial" w:hAnsi="Arial"/>
          <w:sz w:val="18"/>
          <w:szCs w:val="18"/>
          <w:i w:val="1"/>
          <w:iCs w:val="1"/>
          <w:color w:val="auto"/>
        </w:rPr>
        <w:t>ASC 825-10, Financial Instruments - Overall</w:t>
      </w:r>
      <w:r>
        <w:rPr>
          <w:rFonts w:ascii="Arial" w:cs="Arial" w:eastAsia="Arial" w:hAnsi="Arial"/>
          <w:sz w:val="18"/>
          <w:szCs w:val="18"/>
          <w:color w:val="auto"/>
        </w:rPr>
        <w:t>, applied on an instrument-by-instrument basis for eligible instruments</w:t>
      </w:r>
      <w:r>
        <w:rPr>
          <w:rFonts w:ascii="Arial" w:cs="Arial" w:eastAsia="Arial" w:hAnsi="Arial"/>
          <w:sz w:val="16"/>
          <w:szCs w:val="16"/>
          <w:color w:val="auto"/>
        </w:rPr>
        <w:t>.</w:t>
      </w:r>
      <w:r>
        <w:rPr>
          <w:rFonts w:ascii="Arial" w:cs="Arial" w:eastAsia="Arial" w:hAnsi="Arial"/>
          <w:sz w:val="18"/>
          <w:szCs w:val="18"/>
          <w:color w:val="auto"/>
        </w:rPr>
        <w:t xml:space="preserve"> ASU 2019-10, Topic 326, Topic 815, and Topic 842 amends the mandatory effective date for Topic 326.</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These ASUs are effective for fiscal years beginning after December 15, 2022 for entities that are eligible to be defined by the SEC as a smaller reporting company. The Company is a smaller reporting company. Although the impact upon adoption will depend on the financial instruments held by the Company at that time, the Company does not anticipate a significant impact on its financial statements based on the instruments currently held and its historical trend of bad debt expense relating to trade accounts receivable.</w:t>
      </w:r>
    </w:p>
    <w:p>
      <w:pPr>
        <w:spacing w:after="0" w:line="189"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Other than the items noted above, there have been no new accounting pronouncements not yet effective or adopted in the current year that we believe have a significant impact, or potential significant impact, to our unaudited interim financial statements.</w:t>
      </w:r>
    </w:p>
    <w:p>
      <w:pPr>
        <w:spacing w:after="0" w:line="154" w:lineRule="exact"/>
        <w:rPr>
          <w:sz w:val="20"/>
          <w:szCs w:val="20"/>
          <w:color w:val="auto"/>
        </w:rPr>
      </w:pPr>
    </w:p>
    <w:p>
      <w:pPr>
        <w:ind w:left="460" w:hanging="410"/>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AND FINANCIAL INSTRUMENTS</w:t>
      </w:r>
    </w:p>
    <w:p>
      <w:pPr>
        <w:spacing w:after="0" w:line="207"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carrying values of cash equivalents, accounts receivable, prepaids and other current assets, and accounts payable on the Company’s balance sheets approximated their fair values as of September 30, 2022 and December 31, 2021 due to their short-term nature. The carrying values of the Company’s credit facility approximated its fair value as of September 30, 2022 and December 31, 2021 due to its variable interest rate. The carrying value of the Company’s note receivable approximated its fair value as of December 31, 2021 due to its variable interest rate.</w:t>
      </w:r>
    </w:p>
    <w:p>
      <w:pPr>
        <w:spacing w:after="0" w:line="164"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:Inputs are quoted prices for identical instruments in active markets.</w:t>
      </w:r>
    </w:p>
    <w:p>
      <w:pPr>
        <w:spacing w:after="0" w:line="171" w:lineRule="exact"/>
        <w:rPr>
          <w:sz w:val="20"/>
          <w:szCs w:val="20"/>
          <w:color w:val="auto"/>
        </w:rPr>
      </w:pPr>
    </w:p>
    <w:p>
      <w:pPr>
        <w:jc w:val="both"/>
        <w:ind w:left="700" w:right="179" w:hanging="647"/>
        <w:spacing w:after="0"/>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162" w:lineRule="exact"/>
        <w:rPr>
          <w:sz w:val="20"/>
          <w:szCs w:val="20"/>
          <w:color w:val="auto"/>
        </w:rPr>
      </w:pPr>
    </w:p>
    <w:p>
      <w:pPr>
        <w:ind w:left="700" w:right="339" w:hanging="647"/>
        <w:spacing w:after="0" w:line="246"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:Inputs are unobservable and reflect the Company’s own assumptions, based on the best information available, including the Company’s own data</w:t>
      </w:r>
      <w:r>
        <w:rPr>
          <w:rFonts w:ascii="Arial" w:cs="Arial" w:eastAsia="Arial" w:hAnsi="Arial"/>
          <w:sz w:val="16"/>
          <w:szCs w:val="16"/>
          <w:color w:val="auto"/>
        </w:rPr>
        <w:t>.</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set forth the carrying amounts and fair values of the Company’s financial instruments as of</w:t>
      </w:r>
    </w:p>
    <w:p>
      <w:pPr>
        <w:ind w:left="60"/>
        <w:spacing w:after="0"/>
        <w:rPr>
          <w:sz w:val="20"/>
          <w:szCs w:val="20"/>
          <w:color w:val="auto"/>
        </w:rPr>
      </w:pPr>
      <w:r>
        <w:rPr>
          <w:rFonts w:ascii="Arial" w:cs="Arial" w:eastAsia="Arial" w:hAnsi="Arial"/>
          <w:sz w:val="18"/>
          <w:szCs w:val="18"/>
          <w:color w:val="auto"/>
        </w:rPr>
        <w:t>September 30, 2022 and December 31, 2021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September 30, 2022</w:t>
            </w: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9"/>
          </w:tcPr>
          <w:p>
            <w:pPr>
              <w:ind w:left="240"/>
              <w:spacing w:after="0" w:line="155" w:lineRule="exact"/>
              <w:rPr>
                <w:sz w:val="20"/>
                <w:szCs w:val="20"/>
                <w:color w:val="auto"/>
              </w:rPr>
            </w:pPr>
            <w:r>
              <w:rPr>
                <w:rFonts w:ascii="Arial" w:cs="Arial" w:eastAsia="Arial" w:hAnsi="Arial"/>
                <w:sz w:val="14"/>
                <w:szCs w:val="14"/>
                <w:b w:val="1"/>
                <w:bCs w:val="1"/>
                <w:color w:val="auto"/>
              </w:rPr>
              <w:t>Fair Value Measurement Based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Quoted</w:t>
            </w:r>
          </w:p>
        </w:tc>
        <w:tc>
          <w:tcPr>
            <w:tcW w:w="18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Prices In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4"/>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6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Active</w:t>
            </w:r>
          </w:p>
        </w:tc>
        <w:tc>
          <w:tcPr>
            <w:tcW w:w="1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4"/>
              <w:spacing w:after="0"/>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64"/>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8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40" w:type="dxa"/>
            <w:vAlign w:val="bottom"/>
            <w:gridSpan w:val="2"/>
          </w:tcPr>
          <w:p>
            <w:pPr>
              <w:spacing w:after="0" w:line="204" w:lineRule="exact"/>
              <w:rPr>
                <w:sz w:val="20"/>
                <w:szCs w:val="20"/>
                <w:color w:val="auto"/>
              </w:rPr>
            </w:pPr>
            <w:r>
              <w:rPr>
                <w:rFonts w:ascii="Arial" w:cs="Arial" w:eastAsia="Arial" w:hAnsi="Arial"/>
                <w:sz w:val="18"/>
                <w:szCs w:val="18"/>
                <w:color w:val="auto"/>
              </w:rPr>
              <w:t>Money market funds (cash equivalents)</w:t>
            </w:r>
          </w:p>
        </w:tc>
        <w:tc>
          <w:tcPr>
            <w:tcW w:w="440" w:type="dxa"/>
            <w:vAlign w:val="bottom"/>
            <w:gridSpan w:val="2"/>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69,405</w:t>
            </w:r>
          </w:p>
        </w:tc>
        <w:tc>
          <w:tcPr>
            <w:tcW w:w="20" w:type="dxa"/>
            <w:vAlign w:val="bottom"/>
          </w:tcPr>
          <w:p>
            <w:pPr>
              <w:spacing w:after="0"/>
              <w:rPr>
                <w:sz w:val="17"/>
                <w:szCs w:val="17"/>
                <w:color w:val="auto"/>
              </w:rPr>
            </w:pPr>
          </w:p>
        </w:tc>
        <w:tc>
          <w:tcPr>
            <w:tcW w:w="340" w:type="dxa"/>
            <w:vAlign w:val="bottom"/>
            <w:gridSpan w:val="2"/>
          </w:tcPr>
          <w:p>
            <w:pPr>
              <w:jc w:val="right"/>
              <w:ind w:right="8"/>
              <w:spacing w:after="0" w:line="204"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4" w:lineRule="exact"/>
              <w:rPr>
                <w:sz w:val="20"/>
                <w:szCs w:val="20"/>
                <w:color w:val="auto"/>
              </w:rPr>
            </w:pPr>
            <w:r>
              <w:rPr>
                <w:rFonts w:ascii="Arial" w:cs="Arial" w:eastAsia="Arial" w:hAnsi="Arial"/>
                <w:sz w:val="18"/>
                <w:szCs w:val="18"/>
                <w:color w:val="auto"/>
              </w:rPr>
              <w:t>69,405</w:t>
            </w:r>
          </w:p>
        </w:tc>
        <w:tc>
          <w:tcPr>
            <w:tcW w:w="320" w:type="dxa"/>
            <w:vAlign w:val="bottom"/>
            <w:gridSpan w:val="3"/>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69,405</w:t>
            </w:r>
          </w:p>
        </w:tc>
        <w:tc>
          <w:tcPr>
            <w:tcW w:w="20" w:type="dxa"/>
            <w:vAlign w:val="bottom"/>
          </w:tcPr>
          <w:p>
            <w:pPr>
              <w:spacing w:after="0"/>
              <w:rPr>
                <w:sz w:val="17"/>
                <w:szCs w:val="17"/>
                <w:color w:val="auto"/>
              </w:rPr>
            </w:pPr>
          </w:p>
        </w:tc>
        <w:tc>
          <w:tcPr>
            <w:tcW w:w="3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ind w:left="500"/>
              <w:spacing w:after="0" w:line="204" w:lineRule="exact"/>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860" w:type="dxa"/>
            <w:vAlign w:val="bottom"/>
          </w:tcPr>
          <w:p>
            <w:pPr>
              <w:ind w:left="6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2021</w:t>
            </w: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9"/>
          </w:tcPr>
          <w:p>
            <w:pPr>
              <w:ind w:left="240"/>
              <w:spacing w:after="0" w:line="155" w:lineRule="exact"/>
              <w:rPr>
                <w:sz w:val="20"/>
                <w:szCs w:val="20"/>
                <w:color w:val="auto"/>
              </w:rPr>
            </w:pPr>
            <w:r>
              <w:rPr>
                <w:rFonts w:ascii="Arial" w:cs="Arial" w:eastAsia="Arial" w:hAnsi="Arial"/>
                <w:sz w:val="14"/>
                <w:szCs w:val="14"/>
                <w:b w:val="1"/>
                <w:bCs w:val="1"/>
                <w:color w:val="auto"/>
              </w:rPr>
              <w:t>Fair Value Measurement Based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Quoted</w:t>
            </w:r>
          </w:p>
        </w:tc>
        <w:tc>
          <w:tcPr>
            <w:tcW w:w="18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Prices In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4"/>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Active</w:t>
            </w:r>
          </w:p>
        </w:tc>
        <w:tc>
          <w:tcPr>
            <w:tcW w:w="1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4"/>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44"/>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40" w:type="dxa"/>
            <w:vAlign w:val="bottom"/>
            <w:gridSpan w:val="2"/>
          </w:tcPr>
          <w:p>
            <w:pPr>
              <w:spacing w:after="0" w:line="204" w:lineRule="exact"/>
              <w:rPr>
                <w:sz w:val="20"/>
                <w:szCs w:val="20"/>
                <w:color w:val="auto"/>
              </w:rPr>
            </w:pPr>
            <w:r>
              <w:rPr>
                <w:rFonts w:ascii="Arial" w:cs="Arial" w:eastAsia="Arial" w:hAnsi="Arial"/>
                <w:sz w:val="18"/>
                <w:szCs w:val="18"/>
                <w:color w:val="auto"/>
              </w:rPr>
              <w:t>Money market funds (cash equivalents)</w:t>
            </w:r>
          </w:p>
        </w:tc>
        <w:tc>
          <w:tcPr>
            <w:tcW w:w="44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91,236</w:t>
            </w:r>
          </w:p>
        </w:tc>
        <w:tc>
          <w:tcPr>
            <w:tcW w:w="20" w:type="dxa"/>
            <w:vAlign w:val="bottom"/>
          </w:tcPr>
          <w:p>
            <w:pPr>
              <w:spacing w:after="0"/>
              <w:rPr>
                <w:sz w:val="17"/>
                <w:szCs w:val="17"/>
                <w:color w:val="auto"/>
              </w:rPr>
            </w:pPr>
          </w:p>
        </w:tc>
        <w:tc>
          <w:tcPr>
            <w:tcW w:w="34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4" w:lineRule="exact"/>
              <w:rPr>
                <w:sz w:val="20"/>
                <w:szCs w:val="20"/>
                <w:color w:val="auto"/>
              </w:rPr>
            </w:pPr>
            <w:r>
              <w:rPr>
                <w:rFonts w:ascii="Arial" w:cs="Arial" w:eastAsia="Arial" w:hAnsi="Arial"/>
                <w:sz w:val="18"/>
                <w:szCs w:val="18"/>
                <w:color w:val="auto"/>
              </w:rPr>
              <w:t>91,236</w:t>
            </w:r>
          </w:p>
        </w:tc>
        <w:tc>
          <w:tcPr>
            <w:tcW w:w="32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91,236</w:t>
            </w:r>
          </w:p>
        </w:tc>
        <w:tc>
          <w:tcPr>
            <w:tcW w:w="20" w:type="dxa"/>
            <w:vAlign w:val="bottom"/>
          </w:tcPr>
          <w:p>
            <w:pPr>
              <w:spacing w:after="0"/>
              <w:rPr>
                <w:sz w:val="17"/>
                <w:szCs w:val="17"/>
                <w:color w:val="auto"/>
              </w:rPr>
            </w:pPr>
          </w:p>
        </w:tc>
        <w:tc>
          <w:tcPr>
            <w:tcW w:w="3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740" w:type="dxa"/>
            <w:vAlign w:val="bottom"/>
          </w:tcPr>
          <w:p>
            <w:pPr>
              <w:ind w:left="500"/>
              <w:spacing w:after="0" w:line="204" w:lineRule="exact"/>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860" w:type="dxa"/>
            <w:vAlign w:val="bottom"/>
          </w:tcPr>
          <w:p>
            <w:pPr>
              <w:ind w:left="6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45" w:lineRule="exact"/>
        <w:rPr>
          <w:sz w:val="20"/>
          <w:szCs w:val="20"/>
          <w:color w:val="auto"/>
        </w:rPr>
      </w:pPr>
    </w:p>
    <w:p>
      <w:pPr>
        <w:ind w:left="440" w:hanging="390"/>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accounts receivable, net as of September 30, 2022 and</w:t>
      </w:r>
    </w:p>
    <w:p>
      <w:pPr>
        <w:ind w:left="60"/>
        <w:spacing w:after="0"/>
        <w:rPr>
          <w:sz w:val="20"/>
          <w:szCs w:val="20"/>
          <w:color w:val="auto"/>
        </w:rPr>
      </w:pPr>
      <w:r>
        <w:rPr>
          <w:rFonts w:ascii="Arial" w:cs="Arial" w:eastAsia="Arial" w:hAnsi="Arial"/>
          <w:sz w:val="18"/>
          <w:szCs w:val="18"/>
          <w:color w:val="auto"/>
        </w:rPr>
        <w:t>December 31, 2021 (in thousands):</w:t>
      </w:r>
    </w:p>
    <w:p>
      <w:pPr>
        <w:spacing w:after="0" w:line="186"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960" w:type="dxa"/>
            <w:vAlign w:val="bottom"/>
            <w:gridSpan w:val="3"/>
          </w:tcPr>
          <w:p>
            <w:pPr>
              <w:ind w:left="9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0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accounts receivable - trade</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13,754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9,168</w:t>
            </w:r>
          </w:p>
        </w:tc>
      </w:tr>
      <w:tr>
        <w:trPr>
          <w:trHeight w:val="203"/>
        </w:trPr>
        <w:tc>
          <w:tcPr>
            <w:tcW w:w="4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Allowances for doubtful accounts</w:t>
            </w:r>
          </w:p>
        </w:tc>
        <w:tc>
          <w:tcPr>
            <w:tcW w:w="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(1,791)</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(1,462)</w:t>
            </w:r>
          </w:p>
        </w:tc>
      </w:tr>
      <w:tr>
        <w:trPr>
          <w:trHeight w:val="196"/>
        </w:trPr>
        <w:tc>
          <w:tcPr>
            <w:tcW w:w="40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Accounts receivable, net</w:t>
            </w: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11,963</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7,706</w:t>
            </w:r>
          </w:p>
        </w:tc>
      </w:tr>
      <w:tr>
        <w:trPr>
          <w:trHeight w:val="20"/>
        </w:trPr>
        <w:tc>
          <w:tcPr>
            <w:tcW w:w="4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60" w:hanging="410"/>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CAPITALIZED SOFTWARE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property and equipment, net as of September 30, 2022 and</w:t>
      </w:r>
    </w:p>
    <w:p>
      <w:pPr>
        <w:ind w:left="60"/>
        <w:spacing w:after="0"/>
        <w:rPr>
          <w:sz w:val="20"/>
          <w:szCs w:val="20"/>
          <w:color w:val="auto"/>
        </w:rPr>
      </w:pPr>
      <w:r>
        <w:rPr>
          <w:rFonts w:ascii="Arial" w:cs="Arial" w:eastAsia="Arial" w:hAnsi="Arial"/>
          <w:sz w:val="18"/>
          <w:szCs w:val="18"/>
          <w:color w:val="auto"/>
        </w:rPr>
        <w:t>December 31, 2021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0" w:type="dxa"/>
            <w:vAlign w:val="bottom"/>
          </w:tcPr>
          <w:p>
            <w:pPr>
              <w:jc w:val="right"/>
              <w:ind w:right="133"/>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3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196"/>
        </w:trPr>
        <w:tc>
          <w:tcPr>
            <w:tcW w:w="6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w:t>
            </w: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r>
      <w:tr>
        <w:trPr>
          <w:trHeight w:val="203"/>
        </w:trPr>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1,598</w:t>
            </w: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Manufacturing equipment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r>
      <w:tr>
        <w:trPr>
          <w:trHeight w:val="203"/>
        </w:trPr>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w:t>
            </w:r>
          </w:p>
        </w:tc>
      </w:tr>
      <w:tr>
        <w:trPr>
          <w:trHeight w:val="203"/>
        </w:trPr>
        <w:tc>
          <w:tcPr>
            <w:tcW w:w="63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Rental equipment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575</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601</w:t>
            </w:r>
          </w:p>
        </w:tc>
      </w:tr>
      <w:tr>
        <w:trPr>
          <w:trHeight w:val="196"/>
        </w:trPr>
        <w:tc>
          <w:tcPr>
            <w:tcW w:w="63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gross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5,026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3,757</w:t>
            </w:r>
          </w:p>
        </w:tc>
      </w:tr>
      <w:tr>
        <w:trPr>
          <w:trHeight w:val="203"/>
        </w:trPr>
        <w:tc>
          <w:tcPr>
            <w:tcW w:w="6340" w:type="dxa"/>
            <w:vAlign w:val="bottom"/>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(2,917)</w:t>
            </w: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(2,537)</w:t>
            </w:r>
          </w:p>
        </w:tc>
      </w:tr>
      <w:tr>
        <w:trPr>
          <w:trHeight w:val="196"/>
        </w:trPr>
        <w:tc>
          <w:tcPr>
            <w:tcW w:w="634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1,220</w:t>
            </w: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As of September 30, 2022 and December 31, 2021, the Company had capitalized software costs, net of $3.7 million and $2.5 million, respectively, which are included in “Prepaid expenses and other current assets” and “Other assets” on the balance sheet.</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was $0.4 million and $0.2 million for the three months ended</w:t>
      </w:r>
    </w:p>
    <w:p>
      <w:pPr>
        <w:ind w:left="60"/>
        <w:spacing w:after="0" w:line="234" w:lineRule="auto"/>
        <w:rPr>
          <w:sz w:val="20"/>
          <w:szCs w:val="20"/>
          <w:color w:val="auto"/>
        </w:rPr>
      </w:pPr>
      <w:r>
        <w:rPr>
          <w:rFonts w:ascii="Arial" w:cs="Arial" w:eastAsia="Arial" w:hAnsi="Arial"/>
          <w:sz w:val="18"/>
          <w:szCs w:val="18"/>
          <w:color w:val="auto"/>
        </w:rPr>
        <w:t>September 30, 2022 and 2021, respectively, and $1.0 million and $0.8 million for the nine months ended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and 2021, respectively.</w:t>
      </w:r>
    </w:p>
    <w:p>
      <w:pPr>
        <w:spacing w:after="0" w:line="176" w:lineRule="exact"/>
        <w:rPr>
          <w:sz w:val="20"/>
          <w:szCs w:val="20"/>
          <w:color w:val="auto"/>
        </w:rPr>
      </w:pPr>
    </w:p>
    <w:p>
      <w:pPr>
        <w:ind w:left="460" w:hanging="410"/>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NOTE RECEIVABLE</w:t>
      </w:r>
    </w:p>
    <w:p>
      <w:pPr>
        <w:spacing w:after="0" w:line="20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September 29, 2021, Neuronetics, Inc. the Company entered into an exclusive, five-year master sales agreement (the “Commercial Agreement”) with Check Five, LLC d/b/a Success TMS (“Success TMS”). In connection with the Commercial Agreement, the Company agreed to loan Success TMS the principal amount of $10.0 million for a period of five years pursuant to a secured promissory note (the “Note”). The Note bore interest at a floating rate equal to the prime rate plus 6.00% per annum. The Note included an interest-only period through October 1, 2022, after which time Success TMS was required to make monthly payments of principal and interest. Under the terms of the Note, the Company had received a first priority security interest in substantially all of the assets of Success TMS. Success TMS has also granted the Company an observer seat on the Board of Managers of Success TMS.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639"/>
        <w:spacing w:after="0" w:line="246" w:lineRule="auto"/>
        <w:rPr>
          <w:sz w:val="20"/>
          <w:szCs w:val="20"/>
          <w:color w:val="auto"/>
        </w:rPr>
      </w:pPr>
      <w:r>
        <w:rPr>
          <w:rFonts w:ascii="Arial" w:cs="Arial" w:eastAsia="Arial" w:hAnsi="Arial"/>
          <w:sz w:val="18"/>
          <w:szCs w:val="18"/>
          <w:color w:val="auto"/>
        </w:rPr>
        <w:t>In the Note, Success TMS made certain representations and warranties and was required to comply with certain customary affirmative and negative covenants during the term of the Note.</w:t>
      </w:r>
    </w:p>
    <w:p>
      <w:pPr>
        <w:spacing w:after="0" w:line="17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April 29, 2022, the Company entered into a Subordination Agreement (the “Subordination Agreement”) with ZW Partners, LLC, a New Jersey limited liability company (“ZW Partners”), pursuant to which the Company agreed to subordinate its rights under the Note to the rights of ZW Partners under a revolving promissory note, dated as of April 29, 2022 (the “Senior Note”), issued by Success TMS to ZW Partners in an amount up to $10.0 million. As a result, payments in respect of the Note were subordinate and subject in right and time of payment to payment in full of the Senior Note, and ZW Partners’ liens and security interests upon the collateral securing both the Senior Note and the Note are superior in priority to the Company’s liens and security interests upon such collateral. Under the Agreement, the Company had the right to purchase, at par, the entire aggregate amount of debt under the Senior Note at any time.</w:t>
      </w:r>
    </w:p>
    <w:p>
      <w:pPr>
        <w:spacing w:after="0" w:line="166" w:lineRule="exact"/>
        <w:rPr>
          <w:sz w:val="20"/>
          <w:szCs w:val="20"/>
          <w:color w:val="auto"/>
        </w:rPr>
      </w:pPr>
    </w:p>
    <w:p>
      <w:pPr>
        <w:jc w:val="both"/>
        <w:ind w:left="60" w:right="259"/>
        <w:spacing w:after="0" w:line="238" w:lineRule="auto"/>
        <w:rPr>
          <w:sz w:val="20"/>
          <w:szCs w:val="20"/>
          <w:color w:val="auto"/>
        </w:rPr>
      </w:pPr>
      <w:r>
        <w:rPr>
          <w:rFonts w:ascii="Arial" w:cs="Arial" w:eastAsia="Arial" w:hAnsi="Arial"/>
          <w:sz w:val="18"/>
          <w:szCs w:val="18"/>
          <w:color w:val="auto"/>
        </w:rPr>
        <w:t>On July 14, 2022, Success TMS repaid in full the Note issued on September 29, 2021 with a cash payment of $10.5 million, which included all outstanding principal, prepayment premium and accrued but unpaid interest. The repayment extinguished the Note in its entirety and terminated the Subordination Agreement entered into by the Company and ZW Partners.</w:t>
      </w:r>
    </w:p>
    <w:p>
      <w:pPr>
        <w:spacing w:after="0" w:line="164"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Interest income recognized by the Company was $0.5 million and $1.0 million for the three and nine months ended September 30, 2022, respectively.</w:t>
      </w:r>
    </w:p>
    <w:p>
      <w:pPr>
        <w:spacing w:after="0" w:line="148" w:lineRule="exact"/>
        <w:rPr>
          <w:sz w:val="20"/>
          <w:szCs w:val="20"/>
          <w:color w:val="auto"/>
        </w:rPr>
      </w:pPr>
    </w:p>
    <w:p>
      <w:pPr>
        <w:ind w:left="460" w:hanging="410"/>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Lessee:</w:t>
      </w:r>
    </w:p>
    <w:p>
      <w:pPr>
        <w:spacing w:after="0" w:line="1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Company has operating leases for its corporate headquarters, a training facility and office equipment, including copiers. The Company leases an approximately 32,000 square foot facility in Malvern, Pennsylvania for its corporate headquarters, which includes office and warehouse space. The Company leases an approximately 9,600 square foot facility in Charlotte, North Carolina as a training facility for its NeuroStar Advanced Therapy Systems. The Company does not currently have any finance leases or executed leases that have not yet commenced.</w:t>
      </w:r>
    </w:p>
    <w:p>
      <w:pPr>
        <w:spacing w:after="0" w:line="17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Operating lease rent expense was $0.2 million and $0.2 million for the three months ended September 30, 2022 and 2021, respectively, and $0.6 million and $0.4 million for the nine months ended September 30, 2022 and 2021, respectively. As of September 30, 2022, the weighted-average remaining lease term of operating leases was 5.3 years and the weighted-average discount rate was 7.1%.</w:t>
      </w:r>
    </w:p>
    <w:p>
      <w:pPr>
        <w:spacing w:after="0" w:line="164" w:lineRule="exact"/>
        <w:rPr>
          <w:sz w:val="20"/>
          <w:szCs w:val="20"/>
          <w:color w:val="auto"/>
        </w:rPr>
      </w:pPr>
    </w:p>
    <w:p>
      <w:pPr>
        <w:ind w:left="60" w:right="979"/>
        <w:spacing w:after="0" w:line="246" w:lineRule="auto"/>
        <w:rPr>
          <w:sz w:val="20"/>
          <w:szCs w:val="20"/>
          <w:color w:val="auto"/>
        </w:rPr>
      </w:pPr>
      <w:r>
        <w:rPr>
          <w:rFonts w:ascii="Arial" w:cs="Arial" w:eastAsia="Arial" w:hAnsi="Arial"/>
          <w:sz w:val="18"/>
          <w:szCs w:val="18"/>
          <w:color w:val="auto"/>
        </w:rPr>
        <w:t>The following table presents the supplemental cash flow information as a lessee related to leases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2022</w:t>
            </w:r>
          </w:p>
        </w:tc>
        <w:tc>
          <w:tcPr>
            <w:tcW w:w="16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2021</w:t>
            </w:r>
          </w:p>
        </w:tc>
        <w:tc>
          <w:tcPr>
            <w:tcW w:w="2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8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Cash paid for amounts included in the measurement of lease liabilities: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800" w:type="dxa"/>
            <w:vAlign w:val="bottom"/>
          </w:tcPr>
          <w:p>
            <w:pPr>
              <w:jc w:val="right"/>
              <w:ind w:right="2150"/>
              <w:spacing w:after="0"/>
              <w:rPr>
                <w:sz w:val="20"/>
                <w:szCs w:val="20"/>
                <w:color w:val="auto"/>
              </w:rPr>
            </w:pPr>
            <w:r>
              <w:rPr>
                <w:rFonts w:ascii="Arial" w:cs="Arial" w:eastAsia="Arial" w:hAnsi="Arial"/>
                <w:sz w:val="18"/>
                <w:szCs w:val="18"/>
                <w:color w:val="auto"/>
              </w:rPr>
              <w:t>Operating cash flows from operating leases</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632</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r>
      <w:tr>
        <w:trPr>
          <w:trHeight w:val="931"/>
        </w:trPr>
        <w:tc>
          <w:tcPr>
            <w:tcW w:w="5820" w:type="dxa"/>
            <w:vAlign w:val="bottom"/>
            <w:gridSpan w:val="2"/>
          </w:tcPr>
          <w:p>
            <w:pPr>
              <w:jc w:val="right"/>
              <w:ind w:right="117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by year the required future payments of operating lease liabilities (in thousands):</w:t>
      </w:r>
    </w:p>
    <w:p>
      <w:pPr>
        <w:spacing w:after="0" w:line="186"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2022</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852</w:t>
            </w: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898</w:t>
            </w: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999</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4,754</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Less imputed interest</w:t>
            </w:r>
          </w:p>
        </w:tc>
        <w:tc>
          <w:tcPr>
            <w:tcW w:w="10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(825)</w:t>
            </w:r>
          </w:p>
        </w:tc>
      </w:tr>
      <w:tr>
        <w:trPr>
          <w:trHeight w:val="196"/>
        </w:trPr>
        <w:tc>
          <w:tcPr>
            <w:tcW w:w="20" w:type="dxa"/>
            <w:vAlign w:val="bottom"/>
          </w:tcPr>
          <w:p>
            <w:pPr>
              <w:spacing w:after="0"/>
              <w:rPr>
                <w:sz w:val="17"/>
                <w:szCs w:val="17"/>
                <w:color w:val="auto"/>
              </w:rPr>
            </w:pPr>
          </w:p>
        </w:tc>
        <w:tc>
          <w:tcPr>
            <w:tcW w:w="46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0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3,929</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sales-type leases:</w:t>
      </w:r>
    </w:p>
    <w:p>
      <w:pPr>
        <w:spacing w:after="0" w:line="203"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Certain customers have purchased NeuroStar Advanced Therapy Systems on a rent-to-own basis. The lease term is three or four years with a customer option to purchase the NeuroStar Advanced Therapy System at the end of the lease or automatic transfer of ownership of the NeuroStar Advanced Therapy System at the end of the lease.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profit recognized on sales-type leases (in thousands):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26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8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8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3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Profit recognized at commencement, net</w:t>
            </w:r>
          </w:p>
        </w:tc>
        <w:tc>
          <w:tcPr>
            <w:tcW w:w="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543</w:t>
            </w: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7"/>
                <w:szCs w:val="17"/>
                <w:color w:val="auto"/>
              </w:rPr>
            </w:pP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82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sales-type lease income</w:t>
            </w:r>
          </w:p>
        </w:tc>
        <w:tc>
          <w:tcPr>
            <w:tcW w:w="7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543</w:t>
            </w:r>
          </w:p>
        </w:tc>
      </w:tr>
      <w:tr>
        <w:trPr>
          <w:trHeight w:val="20"/>
        </w:trPr>
        <w:tc>
          <w:tcPr>
            <w:tcW w:w="3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The following table sets forth a maturity analysis of the undiscounted lease receivables related to sales-type leases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ind w:right="155"/>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2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605</w:t>
            </w: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1,572</w:t>
            </w: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858</w:t>
            </w: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r>
      <w:tr>
        <w:trPr>
          <w:trHeight w:val="196"/>
        </w:trPr>
        <w:tc>
          <w:tcPr>
            <w:tcW w:w="20" w:type="dxa"/>
            <w:vAlign w:val="bottom"/>
          </w:tcPr>
          <w:p>
            <w:pPr>
              <w:spacing w:after="0"/>
              <w:rPr>
                <w:sz w:val="17"/>
                <w:szCs w:val="17"/>
                <w:color w:val="auto"/>
              </w:rPr>
            </w:pPr>
          </w:p>
        </w:tc>
        <w:tc>
          <w:tcPr>
            <w:tcW w:w="5680" w:type="dxa"/>
            <w:vAlign w:val="bottom"/>
          </w:tcPr>
          <w:p>
            <w:pPr>
              <w:ind w:left="100"/>
              <w:spacing w:after="0" w:line="196" w:lineRule="exact"/>
              <w:rPr>
                <w:sz w:val="20"/>
                <w:szCs w:val="20"/>
                <w:color w:val="auto"/>
              </w:rPr>
            </w:pPr>
            <w:r>
              <w:rPr>
                <w:rFonts w:ascii="Arial" w:cs="Arial" w:eastAsia="Arial" w:hAnsi="Arial"/>
                <w:sz w:val="18"/>
                <w:szCs w:val="18"/>
                <w:color w:val="auto"/>
              </w:rPr>
              <w:t>Total sales-type lease receivables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3,491</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As of September 30, 2022, the carrying amount of the lease receivables is $3.5 million. The Company does not have any unguaranteed residual assets.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operating leases:</w:t>
      </w:r>
    </w:p>
    <w:p>
      <w:pPr>
        <w:spacing w:after="0" w:line="189" w:lineRule="exact"/>
        <w:rPr>
          <w:sz w:val="20"/>
          <w:szCs w:val="20"/>
          <w:color w:val="auto"/>
        </w:rPr>
      </w:pPr>
    </w:p>
    <w:p>
      <w:pPr>
        <w:ind w:left="60" w:right="179"/>
        <w:spacing w:after="0" w:line="257" w:lineRule="auto"/>
        <w:rPr>
          <w:sz w:val="20"/>
          <w:szCs w:val="20"/>
          <w:color w:val="auto"/>
        </w:rPr>
      </w:pPr>
      <w:r>
        <w:rPr>
          <w:rFonts w:ascii="Arial" w:cs="Arial" w:eastAsia="Arial" w:hAnsi="Arial"/>
          <w:sz w:val="17"/>
          <w:szCs w:val="17"/>
          <w:color w:val="auto"/>
        </w:rPr>
        <w:t>NeuroStar Advanced Therapy Systems sold for which collection is not probable are accounted for as operating leases. For the three months ended September 30, 2022 and 2021, the Company recognized operating lease income of $0.07 million and $0.03 million, respectively. For the nine months ended September 30, 2022 and 2021, the Company recognized operating lease income of $0.2 million and $0.2 million, respectively.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maintained Rental Equipment, net of $ 0.5 million and $ 0.6 million as of September 30, 2022 and December 31, 2021, respectively, which are included in “Property and equipment, net” on the balance sheet. Rental equipment depreciation expense was $0.02 million and $0.01 million for the three months ended September 30, 2022 and 2021, respectively, and $0.07 million and $0.03 million for the nine months ended September 30, 2022 and 2021.</w:t>
      </w:r>
    </w:p>
    <w:p>
      <w:pPr>
        <w:spacing w:after="0" w:line="153" w:lineRule="exact"/>
        <w:rPr>
          <w:sz w:val="20"/>
          <w:szCs w:val="20"/>
          <w:color w:val="auto"/>
        </w:rPr>
      </w:pPr>
    </w:p>
    <w:p>
      <w:pPr>
        <w:ind w:left="560" w:hanging="510"/>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PREPAID COMMISSION EXPENSE</w:t>
      </w:r>
    </w:p>
    <w:p>
      <w:pPr>
        <w:spacing w:after="0" w:line="20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pays a commission on both NeuroStar Advanced System sales and Treatment Session sales. Since the commission paid for System sales is not commensurate with the commission paid for Treatment Sessions, the Company capitalizes commission expense associated with NeuroStar Advanced Therapy System sales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16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NeuroStar Advanced Therapy System commissions are deferred and amortized on a straight-line basis over a seven-year period equal to the average customer term, which the Company deems to be the expected period of benefit for these costs.</w:t>
      </w:r>
    </w:p>
    <w:p>
      <w:pPr>
        <w:spacing w:after="0" w:line="162" w:lineRule="exact"/>
        <w:rPr>
          <w:sz w:val="20"/>
          <w:szCs w:val="20"/>
          <w:color w:val="auto"/>
        </w:rPr>
      </w:pPr>
    </w:p>
    <w:p>
      <w:pPr>
        <w:ind w:left="60" w:right="259"/>
        <w:spacing w:after="0" w:line="234" w:lineRule="auto"/>
        <w:rPr>
          <w:sz w:val="20"/>
          <w:szCs w:val="20"/>
          <w:color w:val="auto"/>
        </w:rPr>
      </w:pPr>
      <w:r>
        <w:rPr>
          <w:rFonts w:ascii="Arial" w:cs="Arial" w:eastAsia="Arial" w:hAnsi="Arial"/>
          <w:sz w:val="18"/>
          <w:szCs w:val="18"/>
          <w:color w:val="auto"/>
        </w:rPr>
        <w:t>On the Company’s balance sheets, the current portion of capitalized contract costs is represented by the current portion of prepaid commission expense, while the long-term portion is included in prepaid commission expense. Amortization expense was $0.5 million and $0.3 million for the three months ended</w:t>
      </w:r>
    </w:p>
    <w:p>
      <w:pPr>
        <w:spacing w:after="0" w:line="2" w:lineRule="exact"/>
        <w:rPr>
          <w:sz w:val="20"/>
          <w:szCs w:val="20"/>
          <w:color w:val="auto"/>
        </w:rPr>
      </w:pPr>
    </w:p>
    <w:p>
      <w:pPr>
        <w:ind w:left="60" w:right="699"/>
        <w:spacing w:after="0" w:line="246" w:lineRule="auto"/>
        <w:rPr>
          <w:sz w:val="20"/>
          <w:szCs w:val="20"/>
          <w:color w:val="auto"/>
        </w:rPr>
      </w:pPr>
      <w:r>
        <w:rPr>
          <w:rFonts w:ascii="Arial" w:cs="Arial" w:eastAsia="Arial" w:hAnsi="Arial"/>
          <w:sz w:val="18"/>
          <w:szCs w:val="18"/>
          <w:color w:val="auto"/>
        </w:rPr>
        <w:t>September 30, 2022 and 2021, respectively, and $1.3 million and $0.9 million for the nine months ended September 30, 2022 and 2021, respectively.</w:t>
      </w:r>
    </w:p>
    <w:p>
      <w:pPr>
        <w:spacing w:after="0" w:line="148" w:lineRule="exact"/>
        <w:rPr>
          <w:sz w:val="20"/>
          <w:szCs w:val="20"/>
          <w:color w:val="auto"/>
        </w:rPr>
      </w:pPr>
    </w:p>
    <w:p>
      <w:pPr>
        <w:ind w:left="540" w:hanging="490"/>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accrued expenses as of September 30, 2022 and</w:t>
      </w:r>
    </w:p>
    <w:p>
      <w:pPr>
        <w:ind w:left="60"/>
        <w:spacing w:after="0"/>
        <w:rPr>
          <w:sz w:val="20"/>
          <w:szCs w:val="20"/>
          <w:color w:val="auto"/>
        </w:rPr>
      </w:pPr>
      <w:r>
        <w:rPr>
          <w:rFonts w:ascii="Arial" w:cs="Arial" w:eastAsia="Arial" w:hAnsi="Arial"/>
          <w:sz w:val="18"/>
          <w:szCs w:val="18"/>
          <w:color w:val="auto"/>
        </w:rPr>
        <w:t>December 31, 2021 (in thousands):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0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Compensation and related benefits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8,022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5,090</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Consulting and professional fees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760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537</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Warranty</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Sales and other taxes payable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664</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980</w:t>
            </w:r>
          </w:p>
        </w:tc>
      </w:tr>
      <w:tr>
        <w:trPr>
          <w:trHeight w:val="196"/>
        </w:trPr>
        <w:tc>
          <w:tcPr>
            <w:tcW w:w="4000" w:type="dxa"/>
            <w:vAlign w:val="bottom"/>
          </w:tcPr>
          <w:p>
            <w:pPr>
              <w:ind w:left="100"/>
              <w:spacing w:after="0" w:line="196" w:lineRule="exact"/>
              <w:rPr>
                <w:sz w:val="20"/>
                <w:szCs w:val="20"/>
                <w:color w:val="auto"/>
              </w:rPr>
            </w:pPr>
            <w:r>
              <w:rPr>
                <w:rFonts w:ascii="Arial" w:cs="Arial" w:eastAsia="Arial" w:hAnsi="Arial"/>
                <w:sz w:val="18"/>
                <w:szCs w:val="18"/>
                <w:color w:val="auto"/>
              </w:rPr>
              <w:t>Accrued expenses</w:t>
            </w:r>
          </w:p>
        </w:tc>
        <w:tc>
          <w:tcPr>
            <w:tcW w:w="98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11,493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8,233</w:t>
            </w:r>
          </w:p>
        </w:tc>
      </w:tr>
      <w:tr>
        <w:trPr>
          <w:trHeight w:val="20"/>
        </w:trPr>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Payment terms typically require payment upon shipment or installation of the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contract liabilities (deferred revenue). For multi-year agreements, the Company generally invoices customers annually at the beginning of each annual coverage period and recognizes revenue over the term of the coverage period.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As of September 30, 2022, the Company expects to recognize approximately the following percentages of deferred revenue by year:</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Revenue</w:t>
            </w:r>
          </w:p>
        </w:tc>
      </w:tr>
      <w:tr>
        <w:trPr>
          <w:trHeight w:val="175"/>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0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Recognition</w:t>
            </w:r>
          </w:p>
        </w:tc>
      </w:tr>
      <w:tr>
        <w:trPr>
          <w:trHeight w:val="196"/>
        </w:trPr>
        <w:tc>
          <w:tcPr>
            <w:tcW w:w="20" w:type="dxa"/>
            <w:vAlign w:val="bottom"/>
          </w:tcPr>
          <w:p>
            <w:pPr>
              <w:spacing w:after="0"/>
              <w:rPr>
                <w:sz w:val="17"/>
                <w:szCs w:val="17"/>
                <w:color w:val="auto"/>
              </w:rPr>
            </w:pPr>
          </w:p>
        </w:tc>
        <w:tc>
          <w:tcPr>
            <w:tcW w:w="5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Remainder of 2022</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40 %</w:t>
            </w: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25 %</w:t>
            </w: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80" w:type="dxa"/>
            <w:vAlign w:val="bottom"/>
          </w:tcPr>
          <w:p>
            <w:pPr>
              <w:spacing w:after="0"/>
              <w:rPr>
                <w:sz w:val="17"/>
                <w:szCs w:val="17"/>
                <w:color w:val="auto"/>
              </w:rPr>
            </w:pP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8 %</w:t>
            </w: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2 %</w:t>
            </w:r>
          </w:p>
        </w:tc>
      </w:tr>
      <w:tr>
        <w:trPr>
          <w:trHeight w:val="196"/>
        </w:trPr>
        <w:tc>
          <w:tcPr>
            <w:tcW w:w="20" w:type="dxa"/>
            <w:vAlign w:val="bottom"/>
          </w:tcPr>
          <w:p>
            <w:pPr>
              <w:spacing w:after="0"/>
              <w:rPr>
                <w:sz w:val="17"/>
                <w:szCs w:val="17"/>
                <w:color w:val="auto"/>
              </w:rPr>
            </w:pPr>
          </w:p>
        </w:tc>
        <w:tc>
          <w:tcPr>
            <w:tcW w:w="602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39" w:firstLine="12"/>
        <w:spacing w:after="0" w:line="238" w:lineRule="auto"/>
        <w:rPr>
          <w:sz w:val="20"/>
          <w:szCs w:val="20"/>
          <w:color w:val="auto"/>
        </w:rPr>
      </w:pPr>
      <w:r>
        <w:rPr>
          <w:rFonts w:ascii="Arial" w:cs="Arial" w:eastAsia="Arial" w:hAnsi="Arial"/>
          <w:sz w:val="18"/>
          <w:szCs w:val="18"/>
          <w:color w:val="auto"/>
        </w:rPr>
        <w:t>Revenue recognized for the three and nine months ended September 30, 2022 that was included in the contract liability balance at the beginning of the year was $0.4 million and $2.2 million, respectively, and primarily represented revenue earned from separately priced extended warranties, customer deposits, milestone revenue, and clinical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-417195</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Customers</w:t>
      </w:r>
    </w:p>
    <w:p>
      <w:pPr>
        <w:spacing w:after="0" w:line="189"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For the three months ended September 30, 2022 and 2021, one customer accounted for more than 10% of the Company’s revenues, respectively. For the nine months ended September 30, 2022 and 2021, one customer accounted for more than 10% of the Company’s revenues, respectively.</w:t>
      </w:r>
    </w:p>
    <w:p>
      <w:pPr>
        <w:spacing w:after="0" w:line="154" w:lineRule="exact"/>
        <w:rPr>
          <w:sz w:val="20"/>
          <w:szCs w:val="20"/>
          <w:color w:val="auto"/>
        </w:rPr>
      </w:pPr>
    </w:p>
    <w:p>
      <w:pPr>
        <w:ind w:left="560" w:hanging="510"/>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3"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The following table presents the composition of debt as of September 30, 2022 and December 31, 2021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5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principal</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c>
          <w:tcPr>
            <w:tcW w:w="20" w:type="dxa"/>
            <w:vAlign w:val="bottom"/>
            <w:shd w:val="clear" w:color="auto" w:fill="CCEEFF"/>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Accrued final payment fees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c>
          <w:tcPr>
            <w:tcW w:w="20" w:type="dxa"/>
            <w:vAlign w:val="bottom"/>
          </w:tcPr>
          <w:p>
            <w:pPr>
              <w:spacing w:after="0"/>
              <w:rPr>
                <w:sz w:val="17"/>
                <w:szCs w:val="17"/>
                <w:color w:val="auto"/>
              </w:rPr>
            </w:pP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debt discounts</w:t>
            </w:r>
          </w:p>
        </w:tc>
        <w:tc>
          <w:tcPr>
            <w:tcW w:w="14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(1,590)</w:t>
            </w:r>
          </w:p>
        </w:tc>
        <w:tc>
          <w:tcPr>
            <w:tcW w:w="20" w:type="dxa"/>
            <w:vAlign w:val="bottom"/>
            <w:shd w:val="clear" w:color="auto" w:fill="CCEEFF"/>
          </w:tcPr>
          <w:p>
            <w:pPr>
              <w:spacing w:after="0"/>
              <w:rPr>
                <w:sz w:val="17"/>
                <w:szCs w:val="17"/>
                <w:color w:val="auto"/>
              </w:rPr>
            </w:pPr>
          </w:p>
        </w:tc>
      </w:tr>
      <w:tr>
        <w:trPr>
          <w:trHeight w:val="196"/>
        </w:trPr>
        <w:tc>
          <w:tcPr>
            <w:tcW w:w="3560" w:type="dxa"/>
            <w:vAlign w:val="bottom"/>
          </w:tcPr>
          <w:p>
            <w:pPr>
              <w:ind w:left="100"/>
              <w:spacing w:after="0" w:line="196" w:lineRule="exact"/>
              <w:rPr>
                <w:sz w:val="20"/>
                <w:szCs w:val="20"/>
                <w:color w:val="auto"/>
              </w:rPr>
            </w:pPr>
            <w:r>
              <w:rPr>
                <w:rFonts w:ascii="Arial" w:cs="Arial" w:eastAsia="Arial" w:hAnsi="Arial"/>
                <w:sz w:val="18"/>
                <w:szCs w:val="18"/>
                <w:color w:val="auto"/>
              </w:rPr>
              <w:t>Total debt, net</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35,759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35,335</w:t>
            </w:r>
          </w:p>
        </w:tc>
        <w:tc>
          <w:tcPr>
            <w:tcW w:w="20" w:type="dxa"/>
            <w:vAlign w:val="bottom"/>
          </w:tcPr>
          <w:p>
            <w:pPr>
              <w:spacing w:after="0"/>
              <w:rPr>
                <w:sz w:val="17"/>
                <w:szCs w:val="17"/>
                <w:color w:val="auto"/>
              </w:rPr>
            </w:pPr>
          </w:p>
        </w:tc>
      </w:tr>
      <w:tr>
        <w:trPr>
          <w:trHeight w:val="203"/>
        </w:trPr>
        <w:tc>
          <w:tcPr>
            <w:tcW w:w="3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current portion</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96"/>
        </w:trPr>
        <w:tc>
          <w:tcPr>
            <w:tcW w:w="3560" w:type="dxa"/>
            <w:vAlign w:val="bottom"/>
          </w:tcPr>
          <w:p>
            <w:pPr>
              <w:ind w:left="100"/>
              <w:spacing w:after="0" w:line="196" w:lineRule="exact"/>
              <w:rPr>
                <w:sz w:val="20"/>
                <w:szCs w:val="20"/>
                <w:color w:val="auto"/>
              </w:rPr>
            </w:pPr>
            <w:r>
              <w:rPr>
                <w:rFonts w:ascii="Arial" w:cs="Arial" w:eastAsia="Arial" w:hAnsi="Arial"/>
                <w:sz w:val="18"/>
                <w:szCs w:val="18"/>
                <w:color w:val="auto"/>
              </w:rPr>
              <w:t>Long-term debt, net</w:t>
            </w:r>
          </w:p>
        </w:tc>
        <w:tc>
          <w:tcPr>
            <w:tcW w:w="14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27,009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35,335</w:t>
            </w:r>
          </w:p>
        </w:tc>
        <w:tc>
          <w:tcPr>
            <w:tcW w:w="20" w:type="dxa"/>
            <w:vAlign w:val="bottom"/>
          </w:tcPr>
          <w:p>
            <w:pPr>
              <w:spacing w:after="0"/>
              <w:rPr>
                <w:sz w:val="17"/>
                <w:szCs w:val="17"/>
                <w:color w:val="auto"/>
              </w:rPr>
            </w:pPr>
          </w:p>
        </w:tc>
      </w:tr>
      <w:tr>
        <w:trPr>
          <w:trHeight w:val="20"/>
        </w:trPr>
        <w:tc>
          <w:tcPr>
            <w:tcW w:w="3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34" w:lineRule="auto"/>
        <w:rPr>
          <w:sz w:val="20"/>
          <w:szCs w:val="20"/>
          <w:color w:val="auto"/>
        </w:rPr>
      </w:pPr>
      <w:r>
        <w:rPr>
          <w:rFonts w:ascii="Arial" w:cs="Arial" w:eastAsia="Arial" w:hAnsi="Arial"/>
          <w:sz w:val="18"/>
          <w:szCs w:val="18"/>
          <w:color w:val="auto"/>
        </w:rPr>
        <w:t>For the three months ended September 30, 2022, the Company recognized interest expense of $1.1 million, of which $0.9 million was cash and $0.2 million was non-cash interest expense related to the amortization of deferred debt issuance costs and accrual of final payment fees. For the three months ended</w:t>
      </w:r>
    </w:p>
    <w:p>
      <w:pPr>
        <w:spacing w:after="0" w:line="2"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September 30, 2021, the Company recognized interest expense of $1.0 million, of which $0.8 million was cash and $0.2 million was non-cash interest expense related to the amortization of deferred debt issuance costs and accrual of final payment fees.</w:t>
      </w:r>
    </w:p>
    <w:p>
      <w:pPr>
        <w:spacing w:after="0" w:line="176"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For the nine months ended September 30, 2022, the Company recognized interest expense of $3.0 million, of which $2.5 million was cash and $0.5 million was non-cash interest expense related to the amortization of deferred debt issuance costs and accrual of final payment fees.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Solar Credit Facility</w:t>
      </w:r>
    </w:p>
    <w:p>
      <w:pPr>
        <w:spacing w:after="0" w:line="193"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On March 2, 2020, the Company entered into a loan and security agreement with Solar Capital Ltd., or Solar, as collateral agent, and other lenders defined in the agreement, for a credit facility, or the Solar Facility, that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499"/>
        <w:spacing w:after="0" w:line="246" w:lineRule="auto"/>
        <w:rPr>
          <w:sz w:val="20"/>
          <w:szCs w:val="20"/>
          <w:color w:val="auto"/>
        </w:rPr>
      </w:pPr>
      <w:r>
        <w:rPr>
          <w:rFonts w:ascii="Arial" w:cs="Arial" w:eastAsia="Arial" w:hAnsi="Arial"/>
          <w:sz w:val="18"/>
          <w:szCs w:val="18"/>
          <w:color w:val="auto"/>
        </w:rPr>
        <w:t>replaced the Company’s previous $35.0 million credit facility with Oxford Finance LLC, or Oxford, and such facility, the Oxford Facility.</w:t>
      </w:r>
    </w:p>
    <w:p>
      <w:pPr>
        <w:spacing w:after="0" w:line="17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Solar Facility originally permitted the Company to borrow up to an aggregate amount of $ 50.0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$15.0 million, (i) upon the Company achieving a specified amount of trailing twelve months net product revenue, and (ii) assuming there has been no event of default under the Solar Facility prior to such election. Once the net product revenue condition has been satisfied, the Company may make an election to borrow under the Term B Loan portion of the Solar Facility until the earlier of (a) December 15, 2021, (b) 30 days following achievement of the net product revenue condition or</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 the occurrence of an event of default.</w:t>
      </w:r>
    </w:p>
    <w:p>
      <w:pPr>
        <w:spacing w:after="0" w:line="18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 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67"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7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 (d) the Company achieving $ 125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including the attainment of a minimum trailing net revenue amount beginning on December 31, 2020, as well as customary affirmative and negative covenants.</w:t>
      </w:r>
    </w:p>
    <w:p>
      <w:pPr>
        <w:spacing w:after="0" w:line="178"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w:t>
      </w:r>
    </w:p>
    <w:p>
      <w:pPr>
        <w:spacing w:after="0" w:line="2" w:lineRule="exact"/>
        <w:rPr>
          <w:sz w:val="20"/>
          <w:szCs w:val="20"/>
          <w:color w:val="auto"/>
        </w:rPr>
      </w:pPr>
    </w:p>
    <w:p>
      <w:pPr>
        <w:ind w:left="60" w:right="119" w:hanging="10"/>
        <w:spacing w:after="0" w:line="23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 The Solar Facility includes subjective acceleration clauses which permit the lenders to accelerate the maturity date under certain circumstances, including, but not limited to, material adverse effects on a Company’s financial status or otherwise.</w:t>
      </w:r>
    </w:p>
    <w:p>
      <w:pPr>
        <w:spacing w:after="0" w:line="162"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On December 8, 2020, the Company, Solar Capital Ltd., and our other lenders defined in the Solar Facility, executed an amendment to the Solar Facility (the “Solar Amendment”). The Solar Amendment divided the aggregate Term B Loan borrowing amount of $15.0 million allowable upon our achievement of specific trailing twelve-month net product revenue targets into three separate $5.0 million tranches (“Amended Term B Loan”, “Term C Loan” and “Term D Loan”). The three tranches are available through June 20, 2021, December 20, 2021, and June 20, 2022, respectively, based on the achievement of agreed upon trailing twelve-month net product revenue targets for each tranche.</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Solar Amendment also reduced the trailing twelve-month net product revenue requirement for the Amended Term B Loan portion of the facility. Subject to certain conditions, the Company has the ability to extend the interest only period on the initial Term A Loan to 36 months from 24 months upon achieving the revenue targets associated with the Amended Term B Loan. The Company was required to pay an amendment fee of $ 0.1 million to Solar, which was recognized as a deferred debt issuance cost as of December 31, 2020 that will be amortized to interest expense using the effective interest method.</w:t>
      </w:r>
    </w:p>
    <w:p>
      <w:pPr>
        <w:spacing w:after="0" w:line="178"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On February 15, 2022, the Company, SLR Investment Corp. (formerly known as Solar Capital Ltd.) (“Solar”), and our other lenders defined in the Solar Facility, executed an amendment to the Solar Facility and the Solar Amendment (the “2022 Solar Amendment”). The 2022 Solar Amendment waived any default under the Solar Facility and Solar Amendment that resulted from the Company’s failure to comply with the minimum monthly trailing twelve months net product revenue financial covenant, beginning with the testing period for the calendar month ending December 31, 2021 and continuing to the execution date of the 2022 Solar Amendment; (ii) decreased the amount of trailing twelve months net product revenue that the Company is required to achieve, for testing periods on and from the calendar month ending January 31, 2022; (iii) modified the definition of the fourth draw period with respect to the Company’s ability to borrow the Term D Loan portion of the Solar Facility, such that after giving effect to the 2022 Solar Amendment, the Term D Loan portion of the Solar Facility is no longer available to be drawn by the Company; and (iv) modified the definition of interest only extension conditions to allow commencement of loan principal amortization under the Solar Facility to be extended to March 1, 2023. The Company was required to pay an amendment fee of $0.06 million to Solar, which has been recognized as a deferred debt issuance cost as of March 31, 2022 that will be amortized to interest expense using the effective interest method.</w:t>
      </w:r>
    </w:p>
    <w:p>
      <w:pPr>
        <w:spacing w:after="0" w:line="173" w:lineRule="exact"/>
        <w:rPr>
          <w:sz w:val="20"/>
          <w:szCs w:val="20"/>
          <w:color w:val="auto"/>
        </w:rPr>
      </w:pPr>
    </w:p>
    <w:p>
      <w:pPr>
        <w:ind w:left="60" w:right="799"/>
        <w:spacing w:after="0" w:line="246" w:lineRule="auto"/>
        <w:rPr>
          <w:sz w:val="20"/>
          <w:szCs w:val="20"/>
          <w:color w:val="auto"/>
        </w:rPr>
      </w:pPr>
      <w:r>
        <w:rPr>
          <w:rFonts w:ascii="Arial" w:cs="Arial" w:eastAsia="Arial" w:hAnsi="Arial"/>
          <w:sz w:val="18"/>
          <w:szCs w:val="18"/>
          <w:color w:val="auto"/>
        </w:rPr>
        <w:t>As of September 30, 2022, the Company is in compliance with all covenants in the Solar Facility and is projected to be in compliance with the reduced minimum revenue covenant amounts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jc w:val="both"/>
        <w:ind w:left="60" w:right="6899" w:hanging="10"/>
        <w:spacing w:after="0" w:line="485" w:lineRule="auto"/>
        <w:tabs>
          <w:tab w:leader="none" w:pos="56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 Common Stock Offering</w:t>
      </w:r>
    </w:p>
    <w:p>
      <w:pPr>
        <w:spacing w:after="0" w:line="1"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On February 2, 2021, we closed on our public offering and sale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07"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The following table summarizes the total number of shares of the Company’s common stock issued and reserved for issuance as of September 30, 2022 and December 31, 2021 (in thousands):</w:t>
      </w:r>
    </w:p>
    <w:p>
      <w:pPr>
        <w:spacing w:after="0" w:line="171"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Shares of common stock issued</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27,060</w:t>
            </w:r>
          </w:p>
        </w:tc>
        <w:tc>
          <w:tcPr>
            <w:tcW w:w="1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26,395</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Shares of common stock reserved for issuance for:</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Common stock warrants outstanding</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5640" w:type="dxa"/>
            <w:vAlign w:val="bottom"/>
          </w:tcPr>
          <w:p>
            <w:pPr>
              <w:ind w:left="100"/>
              <w:spacing w:after="0" w:line="202" w:lineRule="exact"/>
              <w:rPr>
                <w:sz w:val="20"/>
                <w:szCs w:val="20"/>
                <w:color w:val="auto"/>
              </w:rPr>
            </w:pPr>
            <w:r>
              <w:rPr>
                <w:rFonts w:ascii="Arial" w:cs="Arial" w:eastAsia="Arial" w:hAnsi="Arial"/>
                <w:sz w:val="18"/>
                <w:szCs w:val="18"/>
                <w:color w:val="auto"/>
              </w:rPr>
              <w:t>Stock options outstanding</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1,424</w:t>
            </w: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1,499</w:t>
            </w:r>
          </w:p>
        </w:tc>
      </w:tr>
      <w:tr>
        <w:trPr>
          <w:trHeight w:val="203"/>
        </w:trPr>
        <w:tc>
          <w:tcPr>
            <w:tcW w:w="5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Restricted stock units outstanding</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4,060</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2,124</w:t>
            </w:r>
          </w:p>
        </w:tc>
      </w:tr>
      <w:tr>
        <w:trPr>
          <w:trHeight w:val="203"/>
        </w:trPr>
        <w:tc>
          <w:tcPr>
            <w:tcW w:w="5640" w:type="dxa"/>
            <w:vAlign w:val="bottom"/>
          </w:tcPr>
          <w:p>
            <w:pPr>
              <w:ind w:left="100"/>
              <w:spacing w:after="0" w:line="202" w:lineRule="exact"/>
              <w:rPr>
                <w:sz w:val="20"/>
                <w:szCs w:val="20"/>
                <w:color w:val="auto"/>
              </w:rPr>
            </w:pPr>
            <w:r>
              <w:rPr>
                <w:rFonts w:ascii="Arial" w:cs="Arial" w:eastAsia="Arial" w:hAnsi="Arial"/>
                <w:sz w:val="18"/>
                <w:szCs w:val="18"/>
                <w:color w:val="auto"/>
              </w:rPr>
              <w:t>Shares available for grant under stock incentive plan</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1,067</w:t>
            </w: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2,037</w:t>
            </w:r>
          </w:p>
        </w:tc>
      </w:tr>
      <w:tr>
        <w:trPr>
          <w:trHeight w:val="203"/>
        </w:trPr>
        <w:tc>
          <w:tcPr>
            <w:tcW w:w="5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Shares available for sale under employee stock purchase plan</w:t>
            </w: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1,063</w:t>
            </w:r>
          </w:p>
        </w:tc>
        <w:tc>
          <w:tcPr>
            <w:tcW w:w="16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r>
      <w:tr>
        <w:trPr>
          <w:trHeight w:val="196"/>
        </w:trPr>
        <w:tc>
          <w:tcPr>
            <w:tcW w:w="5640" w:type="dxa"/>
            <w:vAlign w:val="bottom"/>
          </w:tcPr>
          <w:p>
            <w:pPr>
              <w:ind w:left="220"/>
              <w:spacing w:after="0" w:line="196" w:lineRule="exact"/>
              <w:rPr>
                <w:sz w:val="20"/>
                <w:szCs w:val="20"/>
                <w:color w:val="auto"/>
              </w:rPr>
            </w:pPr>
            <w:r>
              <w:rPr>
                <w:rFonts w:ascii="Arial" w:cs="Arial" w:eastAsia="Arial" w:hAnsi="Arial"/>
                <w:sz w:val="18"/>
                <w:szCs w:val="18"/>
                <w:color w:val="auto"/>
              </w:rPr>
              <w:t>Total shares of common stock issued and reserved for issuance</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34,749</w:t>
            </w:r>
          </w:p>
        </w:tc>
        <w:tc>
          <w:tcPr>
            <w:tcW w:w="16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32,929</w:t>
            </w:r>
          </w:p>
        </w:tc>
      </w:tr>
      <w:tr>
        <w:trPr>
          <w:trHeight w:val="20"/>
        </w:trPr>
        <w:tc>
          <w:tcPr>
            <w:tcW w:w="5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193"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The following tables summarize the Company’s outstanding common stock warrants as of September 30, 2022, and December 31, 2021:</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2"/>
        </w:trPr>
        <w:tc>
          <w:tcPr>
            <w:tcW w:w="4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4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3"/>
        </w:trPr>
        <w:tc>
          <w:tcPr>
            <w:tcW w:w="4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93" w:lineRule="exact"/>
        <w:rPr>
          <w:sz w:val="20"/>
          <w:szCs w:val="20"/>
          <w:color w:val="auto"/>
        </w:rPr>
      </w:pPr>
    </w:p>
    <w:p>
      <w:pPr>
        <w:ind w:left="60" w:right="419"/>
        <w:spacing w:after="0" w:line="274" w:lineRule="auto"/>
        <w:rPr>
          <w:sz w:val="20"/>
          <w:szCs w:val="20"/>
          <w:color w:val="auto"/>
        </w:rPr>
      </w:pPr>
      <w:r>
        <w:rPr>
          <w:rFonts w:ascii="Arial" w:cs="Arial" w:eastAsia="Arial" w:hAnsi="Arial"/>
          <w:sz w:val="17"/>
          <w:szCs w:val="17"/>
          <w:color w:val="auto"/>
        </w:rPr>
        <w:t>The Company’s basic loss per common share is computed by dividing the net loss by the weighted-average number of shares of common stock outstanding during the period. The Company’s restricted stock awards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(non-vested shares) are issued and outstanding at the time of grant but are excluded from the Company’s computation of weighted-average shares outstanding in the determination of basic loss per share until vesting occurs.</w:t>
      </w:r>
    </w:p>
    <w:p>
      <w:pPr>
        <w:spacing w:after="0" w:line="1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non-vested restricted stock units and non-vested performance restricted stock units using the treasury stock method, along with the effect, if any, from the potential conversion of outstanding securities, such as convertible preferred stock.</w:t>
      </w:r>
    </w:p>
    <w:p>
      <w:pPr>
        <w:spacing w:after="0" w:line="162" w:lineRule="exact"/>
        <w:rPr>
          <w:sz w:val="20"/>
          <w:szCs w:val="20"/>
          <w:color w:val="auto"/>
        </w:rPr>
      </w:pPr>
    </w:p>
    <w:p>
      <w:pPr>
        <w:ind w:left="60" w:right="59"/>
        <w:spacing w:after="0" w:line="274" w:lineRule="auto"/>
        <w:rPr>
          <w:sz w:val="20"/>
          <w:szCs w:val="20"/>
          <w:color w:val="auto"/>
        </w:rPr>
      </w:pPr>
      <w:r>
        <w:rPr>
          <w:rFonts w:ascii="Arial" w:cs="Arial" w:eastAsia="Arial" w:hAnsi="Arial"/>
          <w:sz w:val="17"/>
          <w:szCs w:val="17"/>
          <w:color w:val="auto"/>
        </w:rPr>
        <w:t>The following potentially dilutive securities outstanding as of September 30, 2022 and 2021 have been excluded from the denominator of the diluted loss per share of common stock outstanding calculation (in thousands):</w:t>
      </w:r>
    </w:p>
    <w:p>
      <w:pPr>
        <w:spacing w:after="0" w:line="149"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174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38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3"/>
                <w:szCs w:val="13"/>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1,567</w:t>
            </w:r>
          </w:p>
        </w:tc>
        <w:tc>
          <w:tcPr>
            <w:tcW w:w="20" w:type="dxa"/>
            <w:vAlign w:val="bottom"/>
            <w:shd w:val="clear" w:color="auto" w:fill="CCEEFF"/>
          </w:tcPr>
          <w:p>
            <w:pPr>
              <w:spacing w:after="0"/>
              <w:rPr>
                <w:sz w:val="17"/>
                <w:szCs w:val="17"/>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Non-vested performance restricted stock units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20" w:type="dxa"/>
            <w:vAlign w:val="bottom"/>
          </w:tcPr>
          <w:p>
            <w:pPr>
              <w:spacing w:after="0"/>
              <w:rPr>
                <w:sz w:val="17"/>
                <w:szCs w:val="17"/>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restricted stock units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3,665</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1,647</w:t>
            </w:r>
          </w:p>
        </w:tc>
        <w:tc>
          <w:tcPr>
            <w:tcW w:w="20" w:type="dxa"/>
            <w:vAlign w:val="bottom"/>
            <w:shd w:val="clear" w:color="auto" w:fill="CCEEFF"/>
          </w:tcPr>
          <w:p>
            <w:pPr>
              <w:spacing w:after="0"/>
              <w:rPr>
                <w:sz w:val="17"/>
                <w:szCs w:val="17"/>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Common stock warrants</w:t>
            </w: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bl>
    <w:p>
      <w:pPr>
        <w:spacing w:after="0" w:line="206" w:lineRule="exact"/>
        <w:rPr>
          <w:sz w:val="20"/>
          <w:szCs w:val="20"/>
          <w:color w:val="auto"/>
        </w:rPr>
      </w:pPr>
    </w:p>
    <w:p>
      <w:pPr>
        <w:ind w:left="560" w:hanging="510"/>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93"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The amount of share-based compensation expense recognized by the Company by location in its statements of operations for the three and nine months ended September 30, 2022 and 2021 is as follows (in thousands):</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48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25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3"/>
                <w:szCs w:val="13"/>
                <w:color w:val="auto"/>
              </w:rPr>
            </w:pPr>
          </w:p>
        </w:tc>
      </w:tr>
      <w:tr>
        <w:trPr>
          <w:trHeight w:val="196"/>
        </w:trPr>
        <w:tc>
          <w:tcPr>
            <w:tcW w:w="2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7"/>
                <w:szCs w:val="17"/>
                <w:color w:val="auto"/>
              </w:rPr>
            </w:pPr>
          </w:p>
        </w:tc>
      </w:tr>
      <w:tr>
        <w:trPr>
          <w:trHeight w:val="203"/>
        </w:trPr>
        <w:tc>
          <w:tcPr>
            <w:tcW w:w="254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93"/>
              </w:rPr>
              <w:t>1,074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3,258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1,608</w:t>
            </w:r>
          </w:p>
        </w:tc>
        <w:tc>
          <w:tcPr>
            <w:tcW w:w="20" w:type="dxa"/>
            <w:vAlign w:val="bottom"/>
          </w:tcPr>
          <w:p>
            <w:pPr>
              <w:spacing w:after="0"/>
              <w:rPr>
                <w:sz w:val="17"/>
                <w:szCs w:val="17"/>
                <w:color w:val="auto"/>
              </w:rPr>
            </w:pPr>
          </w:p>
        </w:tc>
      </w:tr>
      <w:tr>
        <w:trPr>
          <w:trHeight w:val="203"/>
        </w:trPr>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4,368</w:t>
            </w:r>
          </w:p>
        </w:tc>
        <w:tc>
          <w:tcPr>
            <w:tcW w:w="20" w:type="dxa"/>
            <w:vAlign w:val="bottom"/>
            <w:shd w:val="clear" w:color="auto" w:fill="CCEEFF"/>
          </w:tcPr>
          <w:p>
            <w:pPr>
              <w:spacing w:after="0"/>
              <w:rPr>
                <w:sz w:val="17"/>
                <w:szCs w:val="17"/>
                <w:color w:val="auto"/>
              </w:rPr>
            </w:pPr>
          </w:p>
        </w:tc>
      </w:tr>
      <w:tr>
        <w:trPr>
          <w:trHeight w:val="203"/>
        </w:trPr>
        <w:tc>
          <w:tcPr>
            <w:tcW w:w="25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w:t>
            </w:r>
          </w:p>
        </w:tc>
        <w:tc>
          <w:tcPr>
            <w:tcW w:w="20" w:type="dxa"/>
            <w:vAlign w:val="bottom"/>
            <w:tcBorders>
              <w:bottom w:val="single" w:sz="8" w:color="CCEEFF"/>
            </w:tcBorders>
          </w:tcPr>
          <w:p>
            <w:pPr>
              <w:spacing w:after="0"/>
              <w:rPr>
                <w:sz w:val="17"/>
                <w:szCs w:val="17"/>
                <w:color w:val="auto"/>
              </w:rPr>
            </w:pPr>
          </w:p>
        </w:tc>
      </w:tr>
      <w:tr>
        <w:trPr>
          <w:trHeight w:val="196"/>
        </w:trPr>
        <w:tc>
          <w:tcPr>
            <w:tcW w:w="25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2,178</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1,961</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6,633</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2018 Equity Incentive Plan</w:t>
      </w:r>
    </w:p>
    <w:p>
      <w:pPr>
        <w:spacing w:after="0" w:line="207"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In June 2018, the Company adopted the 2018 Equity Incentive Plan, or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Restricted stock units generally vest ratably in three equal installments on the first, second and third anniversaries of the grant date. Performance restricted stock units (“PRSUs”) generally vest based on appreciation of the Company’s common stock to a certain price as determined by the Company’s board of directors measured using a trailing 30-day volume weighted average price of a share of the Company’s common stock. The fair value of the PRSU awards are determined using a risk neutral Monte Carlo</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719"/>
        <w:spacing w:after="0" w:line="246" w:lineRule="auto"/>
        <w:rPr>
          <w:sz w:val="20"/>
          <w:szCs w:val="20"/>
          <w:color w:val="auto"/>
        </w:rPr>
      </w:pPr>
      <w:r>
        <w:rPr>
          <w:rFonts w:ascii="Arial" w:cs="Arial" w:eastAsia="Arial" w:hAnsi="Arial"/>
          <w:sz w:val="18"/>
          <w:szCs w:val="18"/>
          <w:color w:val="auto"/>
        </w:rPr>
        <w:t>simulation valuation model. As of September 30, 2022, there were 0.6 million shares available for future issuance under the 2018 Plan.</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Inducement Incentive Plan</w:t>
      </w:r>
    </w:p>
    <w:p>
      <w:pPr>
        <w:spacing w:after="0" w:line="19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December 2020, the Company adopted the 2020 Inducement Incentive Plan, which authorized the issuance of up to 0.4 million shares, subject to increase by approval of the Company’s board of directors, in the form of stock options, stock appreciation rights, restricted stock awards, restricted stock unit awards, performance stock awards and other stock awards to eligible employees who satisfy the standards for inducement grants under Nasdaq Global Market rules. In March 2022, the Company’s board of directors approved an additional 500,000 shares for the issuance under the plan. An individual who previously served as an employee or director of the Company is not eligible to receive awards under this plan. The amount and terms of grants are determined by the Company’s board of directors. As of September 30, 2022, there were 0.5 million shares available for future issuance under the 2020 Inducement Incentive Plan.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Company’s stock option activity for the nine months ended</w:t>
      </w:r>
    </w:p>
    <w:p>
      <w:pPr>
        <w:ind w:left="60"/>
        <w:spacing w:after="0"/>
        <w:rPr>
          <w:sz w:val="20"/>
          <w:szCs w:val="20"/>
          <w:color w:val="auto"/>
        </w:rPr>
      </w:pPr>
      <w:r>
        <w:rPr>
          <w:rFonts w:ascii="Arial" w:cs="Arial" w:eastAsia="Arial" w:hAnsi="Arial"/>
          <w:sz w:val="18"/>
          <w:szCs w:val="18"/>
          <w:color w:val="auto"/>
        </w:rPr>
        <w:t>September 30, 2022:</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under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 Option</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Life (in years)</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2021</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13.41</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September 30, 2022</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Exercisable at September 30, 2022</w:t>
            </w: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913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gridSpan w:val="2"/>
            <w:vMerge w:val="continue"/>
          </w:tcPr>
          <w:p>
            <w:pPr>
              <w:spacing w:after="0"/>
              <w:rPr>
                <w:sz w:val="15"/>
                <w:szCs w:val="15"/>
                <w:color w:val="auto"/>
              </w:rPr>
            </w:pPr>
          </w:p>
        </w:tc>
        <w:tc>
          <w:tcPr>
            <w:tcW w:w="9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Vested and expected to vest at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September 30, 2022</w:t>
            </w: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3.96</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7.2</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 recognized share-based compensation expense related to stock options of $0.2 million and $0.2 million for the three months ended September 30, 2022 and 2021, respectively, and $0.5 million and $0.6 million for the nine months ended September 30, 2022 and 2021, respectively. As of September 30, 2022, there was $0.7 million of total unrecognized compensation cost related to non-vested stock options which the Company expects to recognize over a weighted-average period of 1.4 years. The total intrinsic value of stock options exercised during the nine months ended September 30, 2022 was $0.1 million.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 and Performance Restricted Stock Units</w:t>
      </w:r>
    </w:p>
    <w:p>
      <w:pPr>
        <w:spacing w:after="0" w:line="207"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The following table summarizes the Company’s restricted stock unit and performance restricted stock unit activity for September 30, 2022:</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2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09"/>
        </w:trPr>
        <w:tc>
          <w:tcPr>
            <w:tcW w:w="3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500" w:type="dxa"/>
            <w:vAlign w:val="bottom"/>
            <w:gridSpan w:val="2"/>
          </w:tcPr>
          <w:p>
            <w:pPr>
              <w:jc w:val="center"/>
              <w:ind w:left="415"/>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2021</w:t>
            </w:r>
          </w:p>
        </w:tc>
        <w:tc>
          <w:tcPr>
            <w:tcW w:w="5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1,729</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3"/>
        </w:trPr>
        <w:tc>
          <w:tcPr>
            <w:tcW w:w="332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2,775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(613)</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2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6.12</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September 30, 2022</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3,665</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Company recognized $2.0 million and $1.8 million in share-based compensation expense related to the restricted stock units and performance restricted stock units for the three months ended September 30, 2022 and 2021, respectively, and $6.1 million and $ 5.5 million the nine months ended September 30, 2022 and 2021, respectively. As of September 30, 2022, there was $11.0 million of unrecognized compensation cost related to non-vested restricted stock units and performance restricted stock units, which the Company expects to recognize over a weighted-average period of 1.9 years. The total fair value at the vesting date of restricted stock units and performance restricted stock units vested during the nine months ended September 30, 2022, was $2.2 million.</w:t>
      </w:r>
    </w:p>
    <w:p>
      <w:pPr>
        <w:spacing w:after="0" w:line="167" w:lineRule="exact"/>
        <w:rPr>
          <w:sz w:val="20"/>
          <w:szCs w:val="20"/>
          <w:color w:val="auto"/>
        </w:rPr>
      </w:pPr>
    </w:p>
    <w:p>
      <w:pPr>
        <w:jc w:val="both"/>
        <w:ind w:left="60" w:right="359"/>
        <w:spacing w:after="0" w:line="238" w:lineRule="auto"/>
        <w:rPr>
          <w:sz w:val="20"/>
          <w:szCs w:val="20"/>
          <w:color w:val="auto"/>
        </w:rPr>
      </w:pPr>
      <w:r>
        <w:rPr>
          <w:rFonts w:ascii="Arial" w:cs="Arial" w:eastAsia="Arial" w:hAnsi="Arial"/>
          <w:sz w:val="18"/>
          <w:szCs w:val="18"/>
          <w:color w:val="auto"/>
        </w:rPr>
        <w:t>The Company did not grant performance restricted stock units during the period ended September 30, 2022. For the period ended December 31, 2021, the grant-date fair value of the performance restricted stock units was estimated at the time of grant using the following inputs and assumptions in the Monte Carlo simulation valuation model:</w:t>
      </w:r>
    </w:p>
    <w:p>
      <w:pPr>
        <w:spacing w:after="0" w:line="166"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Closing price of common stock</w:t>
            </w:r>
          </w:p>
        </w:tc>
        <w:tc>
          <w:tcPr>
            <w:tcW w:w="12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15.92</w:t>
            </w:r>
          </w:p>
        </w:tc>
        <w:tc>
          <w:tcPr>
            <w:tcW w:w="32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260" w:type="dxa"/>
            <w:vAlign w:val="bottom"/>
          </w:tcPr>
          <w:p>
            <w:pPr>
              <w:spacing w:after="0"/>
              <w:rPr>
                <w:sz w:val="17"/>
                <w:szCs w:val="17"/>
                <w:color w:val="auto"/>
              </w:rPr>
            </w:pPr>
          </w:p>
        </w:tc>
        <w:tc>
          <w:tcPr>
            <w:tcW w:w="2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1.15 %</w:t>
            </w:r>
          </w:p>
        </w:tc>
      </w:tr>
      <w:tr>
        <w:trPr>
          <w:trHeight w:val="203"/>
        </w:trPr>
        <w:tc>
          <w:tcPr>
            <w:tcW w:w="20" w:type="dxa"/>
            <w:vAlign w:val="bottom"/>
          </w:tcPr>
          <w:p>
            <w:pPr>
              <w:spacing w:after="0"/>
              <w:rPr>
                <w:sz w:val="17"/>
                <w:szCs w:val="17"/>
                <w:color w:val="auto"/>
              </w:rPr>
            </w:pPr>
          </w:p>
        </w:tc>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99.7 %</w:t>
            </w:r>
          </w:p>
        </w:tc>
      </w:tr>
    </w:tbl>
    <w:p>
      <w:pPr>
        <w:spacing w:after="0" w:line="193" w:lineRule="exact"/>
        <w:rPr>
          <w:sz w:val="20"/>
          <w:szCs w:val="20"/>
          <w:color w:val="auto"/>
        </w:rPr>
      </w:pPr>
    </w:p>
    <w:p>
      <w:pPr>
        <w:ind w:left="60" w:right="5119" w:hanging="10"/>
        <w:spacing w:after="0" w:line="458" w:lineRule="auto"/>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spacing w:after="0" w:line="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56" w:lineRule="exact"/>
        <w:rPr>
          <w:sz w:val="20"/>
          <w:szCs w:val="20"/>
          <w:color w:val="auto"/>
        </w:rPr>
      </w:pPr>
    </w:p>
    <w:p>
      <w:pPr>
        <w:ind w:left="500" w:hanging="450"/>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SEGMENT INFORMATION</w:t>
      </w:r>
    </w:p>
    <w:p>
      <w:pPr>
        <w:spacing w:after="0" w:line="193"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Revenues by Geography</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2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780" w:type="dxa"/>
            <w:vAlign w:val="bottom"/>
            <w:gridSpan w:val="8"/>
          </w:tcPr>
          <w:p>
            <w:pPr>
              <w:jc w:val="center"/>
              <w:ind w:right="130"/>
              <w:spacing w:after="0"/>
              <w:rPr>
                <w:sz w:val="20"/>
                <w:szCs w:val="20"/>
                <w:color w:val="auto"/>
              </w:rPr>
            </w:pPr>
            <w:r>
              <w:rPr>
                <w:rFonts w:ascii="Arial" w:cs="Arial" w:eastAsia="Arial" w:hAnsi="Arial"/>
                <w:sz w:val="14"/>
                <w:szCs w:val="14"/>
                <w:b w:val="1"/>
                <w:bCs w:val="1"/>
                <w:color w:val="auto"/>
              </w:rPr>
              <w:t>Three Months Ended September 30,</w:t>
            </w:r>
          </w:p>
        </w:tc>
      </w:tr>
      <w:tr>
        <w:trPr>
          <w:trHeight w:val="155"/>
        </w:trPr>
        <w:tc>
          <w:tcPr>
            <w:tcW w:w="2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60" w:type="dxa"/>
            <w:vAlign w:val="bottom"/>
            <w:tcBorders>
              <w:top w:val="single" w:sz="8" w:color="auto"/>
              <w:bottom w:val="single" w:sz="8" w:color="auto"/>
            </w:tcBorders>
            <w:gridSpan w:val="3"/>
          </w:tcPr>
          <w:p>
            <w:pPr>
              <w:jc w:val="right"/>
              <w:ind w:right="582"/>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3"/>
                <w:szCs w:val="13"/>
                <w:color w:val="auto"/>
              </w:rPr>
            </w:pPr>
          </w:p>
        </w:tc>
        <w:tc>
          <w:tcPr>
            <w:tcW w:w="1660" w:type="dxa"/>
            <w:vAlign w:val="bottom"/>
            <w:tcBorders>
              <w:top w:val="single" w:sz="8" w:color="auto"/>
              <w:bottom w:val="single" w:sz="8" w:color="auto"/>
            </w:tcBorders>
            <w:gridSpan w:val="3"/>
          </w:tcPr>
          <w:p>
            <w:pPr>
              <w:jc w:val="right"/>
              <w:ind w:right="59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r>
      <w:tr>
        <w:trPr>
          <w:trHeight w:val="142"/>
        </w:trPr>
        <w:tc>
          <w:tcPr>
            <w:tcW w:w="2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102"/>
              <w:spacing w:after="0" w:line="14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17"/>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r>
      <w:tr>
        <w:trPr>
          <w:trHeight w:val="175"/>
        </w:trPr>
        <w:tc>
          <w:tcPr>
            <w:tcW w:w="2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jc w:val="right"/>
              <w:ind w:right="44"/>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9"/>
              </w:rPr>
              <w:t>Revenues</w:t>
            </w: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9"/>
              </w:rPr>
              <w:t>Revenues</w:t>
            </w:r>
          </w:p>
        </w:tc>
      </w:tr>
      <w:tr>
        <w:trPr>
          <w:trHeight w:val="20"/>
        </w:trPr>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920" w:type="dxa"/>
            <w:vAlign w:val="bottom"/>
            <w:gridSpan w:val="6"/>
          </w:tcPr>
          <w:p>
            <w:pPr>
              <w:ind w:left="60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3"/>
        </w:trPr>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$ 16,244</w:t>
            </w:r>
          </w:p>
        </w:tc>
        <w:tc>
          <w:tcPr>
            <w:tcW w:w="116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98 %</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$ 13,280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96 %</w:t>
            </w:r>
          </w:p>
        </w:tc>
      </w:tr>
      <w:tr>
        <w:trPr>
          <w:trHeight w:val="203"/>
        </w:trPr>
        <w:tc>
          <w:tcPr>
            <w:tcW w:w="23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254</w:t>
            </w:r>
          </w:p>
        </w:tc>
        <w:tc>
          <w:tcPr>
            <w:tcW w:w="11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2 %</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519</w:t>
            </w:r>
          </w:p>
        </w:tc>
        <w:tc>
          <w:tcPr>
            <w:tcW w:w="22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r>
      <w:tr>
        <w:trPr>
          <w:trHeight w:val="196"/>
        </w:trPr>
        <w:tc>
          <w:tcPr>
            <w:tcW w:w="234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$ 16,498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8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$ 13,799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gridSpan w:val="9"/>
          </w:tcPr>
          <w:p>
            <w:pPr>
              <w:ind w:left="360"/>
              <w:spacing w:after="0"/>
              <w:rPr>
                <w:sz w:val="20"/>
                <w:szCs w:val="20"/>
                <w:color w:val="auto"/>
              </w:rPr>
            </w:pPr>
            <w:r>
              <w:rPr>
                <w:rFonts w:ascii="Arial" w:cs="Arial" w:eastAsia="Arial" w:hAnsi="Arial"/>
                <w:sz w:val="14"/>
                <w:szCs w:val="14"/>
                <w:b w:val="1"/>
                <w:bCs w:val="1"/>
                <w:color w:val="auto"/>
              </w:rPr>
              <w:t>U.S. Revenues by Product Category</w:t>
            </w:r>
          </w:p>
        </w:tc>
      </w:tr>
      <w:tr>
        <w:trPr>
          <w:trHeight w:val="175"/>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gridSpan w:val="9"/>
          </w:tcPr>
          <w:p>
            <w:pPr>
              <w:ind w:left="340"/>
              <w:spacing w:after="0"/>
              <w:rPr>
                <w:sz w:val="20"/>
                <w:szCs w:val="20"/>
                <w:color w:val="auto"/>
              </w:rPr>
            </w:pPr>
            <w:r>
              <w:rPr>
                <w:rFonts w:ascii="Arial" w:cs="Arial" w:eastAsia="Arial" w:hAnsi="Arial"/>
                <w:sz w:val="14"/>
                <w:szCs w:val="14"/>
                <w:b w:val="1"/>
                <w:bCs w:val="1"/>
                <w:color w:val="auto"/>
              </w:rPr>
              <w:t>Three Months Ended September 30,</w:t>
            </w:r>
          </w:p>
        </w:tc>
      </w:tr>
      <w:tr>
        <w:trPr>
          <w:trHeight w:val="155"/>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3"/>
          </w:tcPr>
          <w:p>
            <w:pPr>
              <w:jc w:val="right"/>
              <w:ind w:right="58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3"/>
          </w:tcPr>
          <w:p>
            <w:pPr>
              <w:jc w:val="right"/>
              <w:ind w:right="57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22"/>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16"/>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7"/>
          </w:tcPr>
          <w:p>
            <w:pPr>
              <w:ind w:left="380"/>
              <w:spacing w:after="0" w:line="142" w:lineRule="exact"/>
              <w:rPr>
                <w:sz w:val="20"/>
                <w:szCs w:val="20"/>
                <w:color w:val="auto"/>
              </w:rPr>
            </w:pPr>
            <w:r>
              <w:rPr>
                <w:rFonts w:ascii="Arial" w:cs="Arial" w:eastAsia="Arial" w:hAnsi="Arial"/>
                <w:sz w:val="14"/>
                <w:szCs w:val="14"/>
                <w:b w:val="1"/>
                <w:bCs w:val="1"/>
                <w:color w:val="auto"/>
                <w:w w:val="93"/>
              </w:rPr>
              <w:t>(in thousands, except percentages)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3,934</w:t>
            </w:r>
          </w:p>
        </w:tc>
        <w:tc>
          <w:tcPr>
            <w:tcW w:w="11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2,612</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20 %</w:t>
            </w: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11,864</w:t>
            </w: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73 %</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10,259</w:t>
            </w:r>
          </w:p>
        </w:tc>
        <w:tc>
          <w:tcPr>
            <w:tcW w:w="1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77 %</w:t>
            </w: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r>
      <w:tr>
        <w:trPr>
          <w:trHeight w:val="196"/>
        </w:trPr>
        <w:tc>
          <w:tcPr>
            <w:tcW w:w="20" w:type="dxa"/>
            <w:vAlign w:val="bottom"/>
          </w:tcPr>
          <w:p>
            <w:pPr>
              <w:spacing w:after="0"/>
              <w:rPr>
                <w:sz w:val="17"/>
                <w:szCs w:val="17"/>
                <w:color w:val="auto"/>
              </w:rPr>
            </w:pPr>
          </w:p>
        </w:tc>
        <w:tc>
          <w:tcPr>
            <w:tcW w:w="332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16,244</w:t>
            </w: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13,280</w:t>
            </w: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gridSpan w:val="17"/>
          </w:tcPr>
          <w:p>
            <w:pPr>
              <w:jc w:val="right"/>
              <w:ind w:right="310"/>
              <w:spacing w:after="0"/>
              <w:rPr>
                <w:sz w:val="20"/>
                <w:szCs w:val="20"/>
                <w:color w:val="auto"/>
              </w:rPr>
            </w:pPr>
            <w:r>
              <w:rPr>
                <w:rFonts w:ascii="Arial" w:cs="Arial" w:eastAsia="Arial" w:hAnsi="Arial"/>
                <w:sz w:val="14"/>
                <w:szCs w:val="14"/>
                <w:b w:val="1"/>
                <w:bCs w:val="1"/>
                <w:color w:val="auto"/>
              </w:rPr>
              <w:t>International Revenues by Product Category</w:t>
            </w:r>
          </w:p>
        </w:tc>
      </w:tr>
      <w:tr>
        <w:trPr>
          <w:trHeight w:val="175"/>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17"/>
          </w:tcPr>
          <w:p>
            <w:pPr>
              <w:jc w:val="right"/>
              <w:ind w:right="630"/>
              <w:spacing w:after="0"/>
              <w:rPr>
                <w:sz w:val="20"/>
                <w:szCs w:val="20"/>
                <w:color w:val="auto"/>
              </w:rPr>
            </w:pPr>
            <w:r>
              <w:rPr>
                <w:rFonts w:ascii="Arial" w:cs="Arial" w:eastAsia="Arial" w:hAnsi="Arial"/>
                <w:sz w:val="14"/>
                <w:szCs w:val="14"/>
                <w:b w:val="1"/>
                <w:bCs w:val="1"/>
                <w:color w:val="auto"/>
              </w:rPr>
              <w:t>Three Months Ended September 30,</w:t>
            </w:r>
          </w:p>
        </w:tc>
      </w:tr>
      <w:tr>
        <w:trPr>
          <w:trHeight w:val="155"/>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5"/>
          </w:tcPr>
          <w:p>
            <w:pPr>
              <w:jc w:val="right"/>
              <w:ind w:right="524"/>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5"/>
          </w:tcPr>
          <w:p>
            <w:pPr>
              <w:jc w:val="right"/>
              <w:ind w:right="56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124"/>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80" w:type="dxa"/>
            <w:vAlign w:val="bottom"/>
            <w:gridSpan w:val="2"/>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13"/>
          </w:tcPr>
          <w:p>
            <w:pPr>
              <w:ind w:left="440"/>
              <w:spacing w:after="0" w:line="142" w:lineRule="exact"/>
              <w:rPr>
                <w:sz w:val="20"/>
                <w:szCs w:val="20"/>
                <w:color w:val="auto"/>
              </w:rPr>
            </w:pPr>
            <w:r>
              <w:rPr>
                <w:rFonts w:ascii="Arial" w:cs="Arial" w:eastAsia="Arial" w:hAnsi="Arial"/>
                <w:sz w:val="14"/>
                <w:szCs w:val="14"/>
                <w:b w:val="1"/>
                <w:bCs w:val="1"/>
                <w:color w:val="auto"/>
                <w:w w:val="94"/>
              </w:rPr>
              <w:t>(in thousands, except percentages)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96</w:t>
            </w:r>
          </w:p>
        </w:tc>
        <w:tc>
          <w:tcPr>
            <w:tcW w:w="1220" w:type="dxa"/>
            <w:vAlign w:val="bottom"/>
            <w:gridSpan w:val="8"/>
            <w:shd w:val="clear" w:color="auto" w:fill="CCEEFF"/>
          </w:tcPr>
          <w:p>
            <w:pPr>
              <w:jc w:val="right"/>
              <w:spacing w:after="0" w:line="202" w:lineRule="exact"/>
              <w:rPr>
                <w:sz w:val="20"/>
                <w:szCs w:val="20"/>
                <w:color w:val="auto"/>
              </w:rPr>
            </w:pPr>
            <w:r>
              <w:rPr>
                <w:rFonts w:ascii="Arial" w:cs="Arial" w:eastAsia="Arial" w:hAnsi="Arial"/>
                <w:sz w:val="18"/>
                <w:szCs w:val="18"/>
                <w:color w:val="auto"/>
              </w:rPr>
              <w:t>38 % $</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59 %</w:t>
            </w:r>
          </w:p>
        </w:tc>
      </w:tr>
      <w:tr>
        <w:trPr>
          <w:trHeight w:val="203"/>
        </w:trPr>
        <w:tc>
          <w:tcPr>
            <w:tcW w:w="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10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12 %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w:t>
            </w:r>
          </w:p>
        </w:tc>
        <w:tc>
          <w:tcPr>
            <w:tcW w:w="104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50 %</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r>
      <w:tr>
        <w:trPr>
          <w:trHeight w:val="196"/>
        </w:trPr>
        <w:tc>
          <w:tcPr>
            <w:tcW w:w="20" w:type="dxa"/>
            <w:vAlign w:val="bottom"/>
          </w:tcPr>
          <w:p>
            <w:pPr>
              <w:spacing w:after="0"/>
              <w:rPr>
                <w:sz w:val="17"/>
                <w:szCs w:val="17"/>
                <w:color w:val="auto"/>
              </w:rPr>
            </w:pPr>
          </w:p>
        </w:tc>
        <w:tc>
          <w:tcPr>
            <w:tcW w:w="3420" w:type="dxa"/>
            <w:vAlign w:val="bottom"/>
          </w:tcPr>
          <w:p>
            <w:pPr>
              <w:ind w:left="100"/>
              <w:spacing w:after="0" w:line="196" w:lineRule="exact"/>
              <w:rPr>
                <w:sz w:val="20"/>
                <w:szCs w:val="20"/>
                <w:color w:val="auto"/>
              </w:rPr>
            </w:pPr>
            <w:r>
              <w:rPr>
                <w:rFonts w:ascii="Arial" w:cs="Arial" w:eastAsia="Arial" w:hAnsi="Arial"/>
                <w:sz w:val="18"/>
                <w:szCs w:val="18"/>
                <w:color w:val="auto"/>
              </w:rPr>
              <w:t>Total International revenues</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254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11"/>
          </w:tcPr>
          <w:p>
            <w:pPr>
              <w:jc w:val="center"/>
              <w:ind w:right="140"/>
              <w:spacing w:after="0"/>
              <w:rPr>
                <w:sz w:val="20"/>
                <w:szCs w:val="20"/>
                <w:color w:val="auto"/>
              </w:rPr>
            </w:pPr>
            <w:r>
              <w:rPr>
                <w:rFonts w:ascii="Arial" w:cs="Arial" w:eastAsia="Arial" w:hAnsi="Arial"/>
                <w:sz w:val="14"/>
                <w:szCs w:val="14"/>
                <w:b w:val="1"/>
                <w:bCs w:val="1"/>
                <w:color w:val="auto"/>
              </w:rPr>
              <w:t>Revenues by Geography</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17"/>
          </w:tcPr>
          <w:p>
            <w:pPr>
              <w:jc w:val="center"/>
              <w:ind w:right="31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5"/>
          </w:tcPr>
          <w:p>
            <w:pPr>
              <w:jc w:val="right"/>
              <w:ind w:right="58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ind w:right="104"/>
              <w:spacing w:after="0" w:line="143" w:lineRule="exact"/>
              <w:rPr>
                <w:sz w:val="20"/>
                <w:szCs w:val="20"/>
                <w:color w:val="auto"/>
              </w:rPr>
            </w:pPr>
            <w:r>
              <w:rPr>
                <w:rFonts w:ascii="Arial" w:cs="Arial" w:eastAsia="Arial" w:hAnsi="Arial"/>
                <w:sz w:val="14"/>
                <w:szCs w:val="14"/>
                <w:b w:val="1"/>
                <w:bCs w:val="1"/>
                <w:color w:val="auto"/>
              </w:rPr>
              <w:t>% of</w:t>
            </w:r>
          </w:p>
        </w:tc>
        <w:tc>
          <w:tcPr>
            <w:tcW w:w="2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2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4"/>
                <w:szCs w:val="14"/>
                <w:b w:val="1"/>
                <w:bCs w:val="1"/>
                <w:color w:val="auto"/>
              </w:rPr>
              <w:t>Amount</w:t>
            </w: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17"/>
          </w:tcPr>
          <w:p>
            <w:pPr>
              <w:jc w:val="center"/>
              <w:ind w:right="250"/>
              <w:spacing w:after="0"/>
              <w:rPr>
                <w:sz w:val="20"/>
                <w:szCs w:val="20"/>
                <w:color w:val="auto"/>
              </w:rPr>
            </w:pPr>
            <w:r>
              <w:rPr>
                <w:rFonts w:ascii="Arial" w:cs="Arial" w:eastAsia="Arial" w:hAnsi="Arial"/>
                <w:sz w:val="14"/>
                <w:szCs w:val="14"/>
                <w:b w:val="1"/>
                <w:bCs w:val="1"/>
                <w:color w:val="auto"/>
              </w:rPr>
              <w:t>(in thousands, except percentages)</w:t>
            </w:r>
          </w:p>
        </w:tc>
      </w:tr>
      <w:tr>
        <w:trPr>
          <w:trHeight w:val="203"/>
        </w:trPr>
        <w:tc>
          <w:tcPr>
            <w:tcW w:w="3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$ 45,893</w:t>
            </w:r>
          </w:p>
        </w:tc>
        <w:tc>
          <w:tcPr>
            <w:tcW w:w="80" w:type="dxa"/>
            <w:vAlign w:val="bottom"/>
            <w:shd w:val="clear" w:color="auto" w:fill="CCEEFF"/>
          </w:tcPr>
          <w:p>
            <w:pPr>
              <w:spacing w:after="0"/>
              <w:rPr>
                <w:sz w:val="17"/>
                <w:szCs w:val="17"/>
                <w:color w:val="auto"/>
              </w:rPr>
            </w:pPr>
          </w:p>
        </w:tc>
        <w:tc>
          <w:tcPr>
            <w:tcW w:w="104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98 %</w:t>
            </w:r>
          </w:p>
        </w:tc>
        <w:tc>
          <w:tcPr>
            <w:tcW w:w="8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$ 38,891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1,115</w:t>
            </w:r>
          </w:p>
        </w:tc>
        <w:tc>
          <w:tcPr>
            <w:tcW w:w="80" w:type="dxa"/>
            <w:vAlign w:val="bottom"/>
          </w:tcPr>
          <w:p>
            <w:pPr>
              <w:spacing w:after="0"/>
              <w:rPr>
                <w:sz w:val="17"/>
                <w:szCs w:val="17"/>
                <w:color w:val="auto"/>
              </w:rPr>
            </w:pPr>
          </w:p>
        </w:tc>
        <w:tc>
          <w:tcPr>
            <w:tcW w:w="10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2 %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1,399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3 %</w:t>
            </w: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2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$ 47,008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$ 40,290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9"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60" w:type="dxa"/>
            <w:vAlign w:val="bottom"/>
            <w:gridSpan w:val="17"/>
          </w:tcPr>
          <w:p>
            <w:pPr>
              <w:ind w:left="480"/>
              <w:spacing w:after="0"/>
              <w:rPr>
                <w:sz w:val="20"/>
                <w:szCs w:val="20"/>
                <w:color w:val="auto"/>
              </w:rPr>
            </w:pPr>
            <w:r>
              <w:rPr>
                <w:rFonts w:ascii="Arial" w:cs="Arial" w:eastAsia="Arial" w:hAnsi="Arial"/>
                <w:sz w:val="14"/>
                <w:szCs w:val="14"/>
                <w:b w:val="1"/>
                <w:bCs w:val="1"/>
                <w:color w:val="auto"/>
              </w:rPr>
              <w:t>U.S. Revenues by Product Category</w:t>
            </w: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17"/>
          </w:tcPr>
          <w:p>
            <w:pPr>
              <w:ind w:left="50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bottom w:val="single" w:sz="8" w:color="auto"/>
            </w:tcBorders>
            <w:gridSpan w:val="5"/>
          </w:tcPr>
          <w:p>
            <w:pPr>
              <w:ind w:left="640"/>
              <w:spacing w:after="0" w:line="155"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5"/>
          </w:tcPr>
          <w:p>
            <w:pPr>
              <w:jc w:val="right"/>
              <w:ind w:right="56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10"/>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14"/>
          </w:tcPr>
          <w:p>
            <w:pPr>
              <w:ind w:left="500"/>
              <w:spacing w:after="0" w:line="142" w:lineRule="exact"/>
              <w:rPr>
                <w:sz w:val="20"/>
                <w:szCs w:val="20"/>
                <w:color w:val="auto"/>
              </w:rPr>
            </w:pPr>
            <w:r>
              <w:rPr>
                <w:rFonts w:ascii="Arial" w:cs="Arial" w:eastAsia="Arial" w:hAnsi="Arial"/>
                <w:sz w:val="14"/>
                <w:szCs w:val="14"/>
                <w:b w:val="1"/>
                <w:bCs w:val="1"/>
                <w:color w:val="auto"/>
                <w:w w:val="92"/>
              </w:rPr>
              <w:t>(in thousands, except percentages)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6"/>
              </w:rPr>
              <w:t>$ 11,959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26 %$</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6,945</w:t>
            </w:r>
          </w:p>
        </w:tc>
        <w:tc>
          <w:tcPr>
            <w:tcW w:w="2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Treatment sessions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32,627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71 %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30,688</w:t>
            </w:r>
          </w:p>
        </w:tc>
        <w:tc>
          <w:tcPr>
            <w:tcW w:w="20" w:type="dxa"/>
            <w:vAlign w:val="bottom"/>
          </w:tcPr>
          <w:p>
            <w:pPr>
              <w:spacing w:after="0"/>
              <w:rPr>
                <w:sz w:val="17"/>
                <w:szCs w:val="17"/>
                <w:color w:val="auto"/>
              </w:rPr>
            </w:pPr>
          </w:p>
        </w:tc>
        <w:tc>
          <w:tcPr>
            <w:tcW w:w="10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79 %</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1,258</w:t>
            </w:r>
          </w:p>
        </w:tc>
        <w:tc>
          <w:tcPr>
            <w:tcW w:w="2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r>
      <w:tr>
        <w:trPr>
          <w:trHeight w:val="196"/>
        </w:trPr>
        <w:tc>
          <w:tcPr>
            <w:tcW w:w="20" w:type="dxa"/>
            <w:vAlign w:val="bottom"/>
          </w:tcPr>
          <w:p>
            <w:pPr>
              <w:spacing w:after="0"/>
              <w:rPr>
                <w:sz w:val="17"/>
                <w:szCs w:val="17"/>
                <w:color w:val="auto"/>
              </w:rPr>
            </w:pPr>
          </w:p>
        </w:tc>
        <w:tc>
          <w:tcPr>
            <w:tcW w:w="3260" w:type="dxa"/>
            <w:vAlign w:val="bottom"/>
          </w:tcPr>
          <w:p>
            <w:pPr>
              <w:ind w:left="80"/>
              <w:spacing w:after="0" w:line="196" w:lineRule="exact"/>
              <w:rPr>
                <w:sz w:val="20"/>
                <w:szCs w:val="20"/>
                <w:color w:val="auto"/>
              </w:rPr>
            </w:pPr>
            <w:r>
              <w:rPr>
                <w:rFonts w:ascii="Arial" w:cs="Arial" w:eastAsia="Arial" w:hAnsi="Arial"/>
                <w:sz w:val="18"/>
                <w:szCs w:val="18"/>
                <w:color w:val="auto"/>
              </w:rPr>
              <w:t>Total U.S. revenues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w w:val="96"/>
              </w:rPr>
              <w:t>$ 45,893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38,891</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17"/>
          </w:tcPr>
          <w:p>
            <w:pPr>
              <w:ind w:left="120"/>
              <w:spacing w:after="0"/>
              <w:rPr>
                <w:sz w:val="20"/>
                <w:szCs w:val="20"/>
                <w:color w:val="auto"/>
              </w:rPr>
            </w:pPr>
            <w:r>
              <w:rPr>
                <w:rFonts w:ascii="Arial" w:cs="Arial" w:eastAsia="Arial" w:hAnsi="Arial"/>
                <w:sz w:val="14"/>
                <w:szCs w:val="14"/>
                <w:b w:val="1"/>
                <w:bCs w:val="1"/>
                <w:color w:val="auto"/>
              </w:rPr>
              <w:t>International Revenues by Product Category</w:t>
            </w: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17"/>
          </w:tcPr>
          <w:p>
            <w:pPr>
              <w:ind w:left="42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4"/>
          </w:tcPr>
          <w:p>
            <w:pPr>
              <w:ind w:left="540"/>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5"/>
          </w:tcPr>
          <w:p>
            <w:pPr>
              <w:jc w:val="right"/>
              <w:ind w:right="56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14"/>
              <w:spacing w:after="0" w:line="143" w:lineRule="exact"/>
              <w:rPr>
                <w:sz w:val="20"/>
                <w:szCs w:val="20"/>
                <w:color w:val="auto"/>
              </w:rPr>
            </w:pPr>
            <w:r>
              <w:rPr>
                <w:rFonts w:ascii="Arial" w:cs="Arial" w:eastAsia="Arial" w:hAnsi="Arial"/>
                <w:sz w:val="14"/>
                <w:szCs w:val="14"/>
                <w:b w:val="1"/>
                <w:bCs w:val="1"/>
                <w:color w:val="auto"/>
              </w:rPr>
              <w:t>% of</w:t>
            </w:r>
          </w:p>
        </w:tc>
        <w:tc>
          <w:tcPr>
            <w:tcW w:w="2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124"/>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gridSpan w:val="2"/>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2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80" w:type="dxa"/>
            <w:vAlign w:val="bottom"/>
            <w:gridSpan w:val="2"/>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13"/>
          </w:tcPr>
          <w:p>
            <w:pPr>
              <w:ind w:left="420"/>
              <w:spacing w:after="0" w:line="142" w:lineRule="exact"/>
              <w:rPr>
                <w:sz w:val="20"/>
                <w:szCs w:val="20"/>
                <w:color w:val="auto"/>
              </w:rPr>
            </w:pPr>
            <w:r>
              <w:rPr>
                <w:rFonts w:ascii="Arial" w:cs="Arial" w:eastAsia="Arial" w:hAnsi="Arial"/>
                <w:sz w:val="14"/>
                <w:szCs w:val="14"/>
                <w:b w:val="1"/>
                <w:bCs w:val="1"/>
                <w:color w:val="auto"/>
                <w:w w:val="95"/>
              </w:rPr>
              <w:t>(in thousands, except percentages)</w:t>
            </w:r>
          </w:p>
        </w:tc>
        <w:tc>
          <w:tcPr>
            <w:tcW w:w="70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41 % $</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w:t>
            </w:r>
          </w:p>
        </w:tc>
        <w:tc>
          <w:tcPr>
            <w:tcW w:w="2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57 %</w:t>
            </w:r>
          </w:p>
        </w:tc>
      </w:tr>
      <w:tr>
        <w:trPr>
          <w:trHeight w:val="203"/>
        </w:trPr>
        <w:tc>
          <w:tcPr>
            <w:tcW w:w="20" w:type="dxa"/>
            <w:vAlign w:val="bottom"/>
          </w:tcPr>
          <w:p>
            <w:pPr>
              <w:spacing w:after="0"/>
              <w:rPr>
                <w:sz w:val="17"/>
                <w:szCs w:val="17"/>
                <w:color w:val="auto"/>
              </w:rPr>
            </w:pPr>
          </w:p>
        </w:tc>
        <w:tc>
          <w:tcPr>
            <w:tcW w:w="326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19 %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20" w:type="dxa"/>
            <w:vAlign w:val="bottom"/>
          </w:tcPr>
          <w:p>
            <w:pPr>
              <w:spacing w:after="0"/>
              <w:rPr>
                <w:sz w:val="17"/>
                <w:szCs w:val="17"/>
                <w:color w:val="auto"/>
              </w:rPr>
            </w:pPr>
          </w:p>
        </w:tc>
        <w:tc>
          <w:tcPr>
            <w:tcW w:w="10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40 %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c>
          <w:tcPr>
            <w:tcW w:w="2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26 %</w:t>
            </w:r>
          </w:p>
        </w:tc>
      </w:tr>
      <w:tr>
        <w:trPr>
          <w:trHeight w:val="196"/>
        </w:trPr>
        <w:tc>
          <w:tcPr>
            <w:tcW w:w="20" w:type="dxa"/>
            <w:vAlign w:val="bottom"/>
          </w:tcPr>
          <w:p>
            <w:pPr>
              <w:spacing w:after="0"/>
              <w:rPr>
                <w:sz w:val="17"/>
                <w:szCs w:val="17"/>
                <w:color w:val="auto"/>
              </w:rPr>
            </w:pPr>
          </w:p>
        </w:tc>
        <w:tc>
          <w:tcPr>
            <w:tcW w:w="3260" w:type="dxa"/>
            <w:vAlign w:val="bottom"/>
          </w:tcPr>
          <w:p>
            <w:pPr>
              <w:ind w:left="100"/>
              <w:spacing w:after="0" w:line="196" w:lineRule="exact"/>
              <w:rPr>
                <w:sz w:val="20"/>
                <w:szCs w:val="20"/>
                <w:color w:val="auto"/>
              </w:rPr>
            </w:pPr>
            <w:r>
              <w:rPr>
                <w:rFonts w:ascii="Arial" w:cs="Arial" w:eastAsia="Arial" w:hAnsi="Arial"/>
                <w:sz w:val="18"/>
                <w:szCs w:val="18"/>
                <w:color w:val="auto"/>
              </w:rPr>
              <w:t>Total International revenues</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96" w:lineRule="exact"/>
        <w:rPr>
          <w:sz w:val="20"/>
          <w:szCs w:val="20"/>
          <w:color w:val="auto"/>
        </w:rPr>
      </w:pPr>
    </w:p>
    <w:p>
      <w:pPr>
        <w:ind w:left="560" w:hanging="510"/>
        <w:spacing w:after="0"/>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SEVERANCE</w:t>
      </w:r>
    </w:p>
    <w:p>
      <w:pPr>
        <w:spacing w:after="0" w:line="207"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Company entered into transition agreements outlining the separation with certain former employees during the period ended September 30, 2022 and 2021. In connection with these agreements, the Company recorded $0.0 million and $0.3 million of charges in salary, payroll tax and bonus expenses for the three months ended September 30, 2022 and 2021, respectively, and $0.2 million and $0.5 million for the nine months ended September 30, 2022 and 2021, respectively. For the nine months ended September 30, 2022 and 2021, $0.4 million and $1.1 million of termination benefits were paid associated with the termination of the employees and charged against this liability. As of September 30, 2022 and December 31, 2021, $0.0 million and $0.1 million, respectively, remain in accrued liabilities for the unpaid portion of the separation benefits.</w:t>
      </w:r>
    </w:p>
    <w:p>
      <w:pPr>
        <w:spacing w:after="0" w:line="145" w:lineRule="exact"/>
        <w:rPr>
          <w:sz w:val="20"/>
          <w:szCs w:val="20"/>
          <w:color w:val="auto"/>
        </w:rPr>
      </w:pPr>
    </w:p>
    <w:p>
      <w:pPr>
        <w:ind w:left="60" w:right="5459" w:hanging="10"/>
        <w:spacing w:after="0" w:line="494" w:lineRule="auto"/>
        <w:tabs>
          <w:tab w:leader="none" w:pos="51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RISKS AND UNCERTAINTIES Information About Significant Customers</w:t>
      </w:r>
    </w:p>
    <w:p>
      <w:pPr>
        <w:ind w:left="60" w:right="159"/>
        <w:spacing w:after="0" w:line="238" w:lineRule="auto"/>
        <w:rPr>
          <w:sz w:val="20"/>
          <w:szCs w:val="20"/>
          <w:color w:val="auto"/>
        </w:rPr>
      </w:pPr>
      <w:r>
        <w:rPr>
          <w:rFonts w:ascii="Arial" w:cs="Arial" w:eastAsia="Arial" w:hAnsi="Arial"/>
          <w:sz w:val="18"/>
          <w:szCs w:val="18"/>
          <w:color w:val="auto"/>
        </w:rPr>
        <w:t>Significant customers are those which represent more than 10% of the Company’s total revenue or are considered significant based on combination of quantitative and qualitative factors during the periods. For each significant customer, revenue as a percentage of total revenue was as follows (in thousands, except for percentages):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5"/>
        </w:trPr>
        <w:tc>
          <w:tcPr>
            <w:tcW w:w="4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822"/>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22"/>
              <w:spacing w:after="0" w:line="14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219"/>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r>
      <w:tr>
        <w:trPr>
          <w:trHeight w:val="175"/>
        </w:trPr>
        <w:tc>
          <w:tcPr>
            <w:tcW w:w="4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Revenues</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r>
      <w:tr>
        <w:trPr>
          <w:trHeight w:val="142"/>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4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w w:val="99"/>
              </w:rPr>
              <w:t>(in thousands, except percentages)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4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Customer 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9,183</w:t>
            </w:r>
          </w:p>
        </w:tc>
        <w:tc>
          <w:tcPr>
            <w:tcW w:w="15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20 % $</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8,759</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22 %</w:t>
            </w:r>
          </w:p>
        </w:tc>
      </w:tr>
      <w:tr>
        <w:trPr>
          <w:trHeight w:val="196"/>
        </w:trPr>
        <w:tc>
          <w:tcPr>
            <w:tcW w:w="416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9,183</w:t>
            </w:r>
          </w:p>
        </w:tc>
        <w:tc>
          <w:tcPr>
            <w:tcW w:w="2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8,759</w:t>
            </w:r>
          </w:p>
        </w:tc>
        <w:tc>
          <w:tcPr>
            <w:tcW w:w="2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619"/>
        <w:spacing w:after="0" w:line="246" w:lineRule="auto"/>
        <w:rPr>
          <w:sz w:val="20"/>
          <w:szCs w:val="20"/>
          <w:color w:val="auto"/>
        </w:rPr>
      </w:pPr>
      <w:r>
        <w:rPr>
          <w:rFonts w:ascii="Arial" w:cs="Arial" w:eastAsia="Arial" w:hAnsi="Arial"/>
          <w:sz w:val="18"/>
          <w:szCs w:val="18"/>
          <w:color w:val="auto"/>
        </w:rPr>
        <w:t>Accounts receivable outstanding related to these customers as of September 30, 2022 was as follows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jc w:val="right"/>
              <w:ind w:right="25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7060" w:type="dxa"/>
            <w:vAlign w:val="bottom"/>
            <w:vMerge w:val="restart"/>
          </w:tcPr>
          <w:p>
            <w:pPr>
              <w:ind w:left="20"/>
              <w:spacing w:after="0"/>
              <w:rPr>
                <w:sz w:val="20"/>
                <w:szCs w:val="20"/>
                <w:color w:val="auto"/>
              </w:rPr>
            </w:pPr>
            <w:r>
              <w:rPr>
                <w:rFonts w:ascii="Arial" w:cs="Arial" w:eastAsia="Arial" w:hAnsi="Arial"/>
                <w:sz w:val="18"/>
                <w:szCs w:val="18"/>
                <w:color w:val="auto"/>
              </w:rPr>
              <w:t>Customer 1</w:t>
            </w: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706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196"/>
        </w:trPr>
        <w:tc>
          <w:tcPr>
            <w:tcW w:w="70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accounts receivable</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These risks and uncertainties include, without limitation, risks and uncertainties related to: the ongoing impact of the novel coronavirus, or COVID-19, pandemic on general political and economic uncertainty, including as a result of efforts by governmental authorities to mitigate the COVID-19 pandemic and the related impact on resource allocations, manufacturing and supply chains and patient access to commercial products; our ability to execute our business continuity as well as our operational and budget plans in light of the COVID-19 pandemic; our ability to achieve or sustain profitable operations due to our history of losses; our reliance on the sale and usage of our NeuroStar Advanced Therapy System to generate revenues; the scale and efficacy of our salesforce;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NeuroStar Advanced Therapy System for additional indications; developments in regulation in the United States and other applicable jurisdictions; and the impacts on our operational and budget plans due to inflation. For a discussion of these and other related risks, please refer to our recent SEC filings which are available on the SEC’s website at www.sec.gov. These forward-looking statements are based on our expectations and assumptions as of the date of this Quarterly Report on Form 10-Q. Except as required by law, we undertake no duty or obligation to update any forward-looking statements contained in this Quarterly Report on Form 10-Q as a result of new information, future events or changes in our expectations.</w:t>
      </w:r>
    </w:p>
    <w:p>
      <w:pPr>
        <w:spacing w:after="0" w:line="14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i w:val="1"/>
          <w:iCs w:val="1"/>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Annual Report on Form 10-K filed with the SEC, on March 8, 2022.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are a commercial stage medical technology company focused on designing, developing and marketing products that improve the quality of life for patients who suffer from neurohealth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Our NeuroStar Advanced Therapy system was also cleared in 2022 by the FDA to treat people suffering from obsessive-compulsive disorder as well as for the treatment of anxious depression. NeuroStar Advanced Therapy is also available in other parts of the world, including Japan, where it is listed under Japan’s national health insurance. NeuroStar Advanced Therapy is safe, clinically effective, reproducible and precise and we believe is supported by the largest clinical data set of any competing TMS system. We believe we are the market leader in TMS therapy based on over 141,070 global patients treated with over 5.1 million of our Treatment Sessions through September 30, 2022. We generated revenues of $16.5 million and $13.8 million for the three months ended September 30, 2022 and 2021, respectively, and $47.0 million and $40.3 million for the nine months ended September 30, 2022 and 2021, respectively.</w:t>
      </w:r>
    </w:p>
    <w:p>
      <w:pPr>
        <w:spacing w:after="0" w:line="173"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We designed the NeuroStar Advanced Therapy System as a non-invasive therapeutic alternative to treat patients who suffer from MDD and to address many of the key limitations of other treatment options. We generate revenues from initial capital sales of our systems, recurring Treatment Sessions and service and repair and extended warranty contracts. We derive the majority of our revenues from recurring Treatment Sessions. For the three months ended September 30, 2022, revenues from sales of our Treatment Sessions and NeuroStar Advanced Therapy Systems represented 73% and 24% of our U.S. revenues, respectively, and 71% and 26% for the nine months ended September 30, 2022 and 2021, respectively.</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currently sell our NeuroStar Advanced Therapy System and recurring Treatment Sessions in the United States with the collaborative support of our 198 employees as of September 30, 2022. Our sales force targets an estimated 50,000 psychiatrists across 26,000 psychiatric practices in the United States, based on data from Symphony Health and our own internal estimates that treat approximately 42% of the total MDD patients in the United States who meet our labeled indication and are insured. Some of our customers have and may purchase more than one NeuroStar Advanced Therapy System. Based on our commercial data, we believe our customers can recoup their initial capital investment in our system by providing a standard course of treatment to approximately 12 patients. We believe our customers can generate approximately $8,500 of average revenue per patient for a standard course of treatment, which may provide meaningful incremental income to their practices. We have a diverse customer base, including psychiatrists in group psychiatric practices, pain management physicians and other medical professionals in the United States. For the three and nine months ended September 30, 2022, one customer accounted for more than 10% of our revenues.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market our products in a few select markets outside the United States through independent distributors.</w:t>
      </w:r>
    </w:p>
    <w:p>
      <w:pPr>
        <w:ind w:left="60"/>
        <w:spacing w:after="0" w:line="234" w:lineRule="auto"/>
        <w:rPr>
          <w:sz w:val="20"/>
          <w:szCs w:val="20"/>
          <w:color w:val="auto"/>
        </w:rPr>
      </w:pPr>
      <w:r>
        <w:rPr>
          <w:rFonts w:ascii="Arial" w:cs="Arial" w:eastAsia="Arial" w:hAnsi="Arial"/>
          <w:sz w:val="18"/>
          <w:szCs w:val="18"/>
          <w:color w:val="auto"/>
        </w:rPr>
        <w:t>International revenues represented 2% and 4% of our total revenues for the three months ended</w:t>
      </w:r>
    </w:p>
    <w:p>
      <w:pPr>
        <w:ind w:left="60"/>
        <w:spacing w:after="0" w:line="235" w:lineRule="auto"/>
        <w:rPr>
          <w:sz w:val="20"/>
          <w:szCs w:val="20"/>
          <w:color w:val="auto"/>
        </w:rPr>
      </w:pPr>
      <w:r>
        <w:rPr>
          <w:rFonts w:ascii="Arial" w:cs="Arial" w:eastAsia="Arial" w:hAnsi="Arial"/>
          <w:sz w:val="18"/>
          <w:szCs w:val="18"/>
          <w:color w:val="auto"/>
        </w:rPr>
        <w:t>September 30, 2022 and 2021, respectively, and 2% and 3% for the nine months ended September 30, 2022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and 2021, respectively. In October 2017, we entered into an exclusive distribution agreement with Teijin Pharma</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Limited, or Teijin, for the distribution of our NeuroStar Advanced Therapy Systems and Treatment Sessions to</w:t>
      </w:r>
    </w:p>
    <w:p>
      <w:pPr>
        <w:ind w:left="60"/>
        <w:spacing w:after="0" w:line="234" w:lineRule="auto"/>
        <w:rPr>
          <w:sz w:val="20"/>
          <w:szCs w:val="20"/>
          <w:color w:val="auto"/>
        </w:rPr>
      </w:pPr>
      <w:r>
        <w:rPr>
          <w:rFonts w:ascii="Arial" w:cs="Arial" w:eastAsia="Arial" w:hAnsi="Arial"/>
          <w:sz w:val="18"/>
          <w:szCs w:val="18"/>
          <w:color w:val="auto"/>
        </w:rPr>
        <w:t>customers who will treat patients with MDD in Japan. We received regulatory approval for our system in Japan</w:t>
      </w:r>
    </w:p>
    <w:p>
      <w:pPr>
        <w:ind w:left="60"/>
        <w:spacing w:after="0" w:line="235" w:lineRule="auto"/>
        <w:rPr>
          <w:sz w:val="20"/>
          <w:szCs w:val="20"/>
          <w:color w:val="auto"/>
        </w:rPr>
      </w:pPr>
      <w:r>
        <w:rPr>
          <w:rFonts w:ascii="Arial" w:cs="Arial" w:eastAsia="Arial" w:hAnsi="Arial"/>
          <w:sz w:val="18"/>
          <w:szCs w:val="18"/>
          <w:color w:val="auto"/>
        </w:rPr>
        <w:t>in September 2017 and we received the initial reimbursement of JPY 12,000 per Treatment Session, which</w:t>
      </w:r>
    </w:p>
    <w:p>
      <w:pPr>
        <w:ind w:left="60"/>
        <w:spacing w:after="0" w:line="235" w:lineRule="auto"/>
        <w:rPr>
          <w:sz w:val="20"/>
          <w:szCs w:val="20"/>
          <w:color w:val="auto"/>
        </w:rPr>
      </w:pPr>
      <w:r>
        <w:rPr>
          <w:rFonts w:ascii="Arial" w:cs="Arial" w:eastAsia="Arial" w:hAnsi="Arial"/>
          <w:sz w:val="18"/>
          <w:szCs w:val="18"/>
          <w:color w:val="auto"/>
        </w:rPr>
        <w:t>went into effect on June 1, 2019. We expect our international revenues to increase over time as a percentage of</w:t>
      </w:r>
    </w:p>
    <w:p>
      <w:pPr>
        <w:ind w:left="60"/>
        <w:spacing w:after="0"/>
        <w:rPr>
          <w:sz w:val="20"/>
          <w:szCs w:val="20"/>
          <w:color w:val="auto"/>
        </w:rPr>
      </w:pPr>
      <w:r>
        <w:rPr>
          <w:rFonts w:ascii="Arial" w:cs="Arial" w:eastAsia="Arial" w:hAnsi="Arial"/>
          <w:sz w:val="18"/>
          <w:szCs w:val="18"/>
          <w:color w:val="auto"/>
        </w:rPr>
        <w:t>our total revenues as we grow system placements and utilization in Japan.</w:t>
      </w:r>
    </w:p>
    <w:p>
      <w:pPr>
        <w:spacing w:after="0" w:line="171" w:lineRule="exact"/>
        <w:rPr>
          <w:sz w:val="20"/>
          <w:szCs w:val="20"/>
          <w:color w:val="auto"/>
        </w:rPr>
      </w:pPr>
    </w:p>
    <w:p>
      <w:pPr>
        <w:ind w:left="60" w:right="439"/>
        <w:spacing w:after="0" w:line="261" w:lineRule="auto"/>
        <w:rPr>
          <w:sz w:val="20"/>
          <w:szCs w:val="20"/>
          <w:color w:val="auto"/>
        </w:rPr>
      </w:pPr>
      <w:r>
        <w:rPr>
          <w:rFonts w:ascii="Arial" w:cs="Arial" w:eastAsia="Arial" w:hAnsi="Arial"/>
          <w:sz w:val="17"/>
          <w:szCs w:val="17"/>
          <w:color w:val="auto"/>
        </w:rPr>
        <w:t>Our research and development efforts are focused on the following: hardware and software product developments and enhancements of our NeuroStar Advanced Therapy System and clinical developments relating to additional indications. We outsource the manufacture of components of our NeuroStar Advanced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16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total revenues increased by $2.7 million, or 20%, from $13.8 million for the three months ended September 30, 2021 to $16.5 million for the three months ended September 30, 2022 and increased by $ 6.7 million, or 17%, from $40.3 million for the nine months ended September 30, 2021 to $47.0 million for the nine months ended September 30, 2022. For the three and nine months ended September 30, 2022, our U.S. revenues were $16.2 million and $45.9 million compared to $13.3 million and $ 38.9 million for three and nine months ended September 30, 2021, which represents an increase of 22% and 18% period over period. The increase was primarily attributable to an increase in Treatment Session sales period over period. We incurred net losses of $7.6 million and $28.9 million for the three and nine months ended September 30, 2022 compared to net losses of $8.2 million and $ 23.6 million for three and nine months ended September 30, 2021. We expect to continue to incur losses for the next several years as we invest in our commercial organization to support our planned sales growth and while continuing to invest in our pipeline indications. As of September 30, 2022, we had an accumulated deficit of $337.6 million.</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COVID-19</w:t>
      </w:r>
    </w:p>
    <w:p>
      <w:pPr>
        <w:spacing w:after="0" w:line="20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Throughout 2020, 2021 and the nine months ended September 30, 2022, the Company experienced a material impact to revenue, particularly with regards to U.S. Treatment Session revenues as a result of the COVID-19 pandemic. The Company expects that capital equipment sales and Treatment Session revenues will continue to be impacted by the pandemic as customers defer capital purchase decisions and delay new patient treatment starts. System utilization has also declined compared to pre-COVID-19 projections.</w:t>
      </w:r>
    </w:p>
    <w:p>
      <w:pPr>
        <w:spacing w:after="0" w:line="16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have monitored the impact of the COVID-19 pandemic on all aspects of our business and geographies, including how it has and will continue to impact the Company’s customers, supply chain, employees and other business partners. While we experienced significant disruptions in the current period and the nine months ended September 30, 2022 from the COVID-19 pandemic, we are unable to predict the ultimate impact that the COVID-19 pandemic may have on our financial condition, results of operations and cash flows due to numerous uncertainties. These uncertainties include the scope, severity and duration of the ongoing pandemic, the actions taken to contain the pandemic or mitigate its impact and the direct and indirect economic effects of the pandemic, vaccination rates and containment measures, among others. The outbreak of COVID-19 in many countries, including the United States, has significantly adversely impacted global economic activity.</w:t>
      </w:r>
    </w:p>
    <w:p>
      <w:pPr>
        <w:spacing w:after="0" w:line="16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situation surrounding the COVID-19 pandemic remains fluid, and we are actively managing our response in collaboration with business partners and assessing potential impacts to our financial position and operating results, as well as potential adverse developments in our business. For further information regarding the impact of COVID-19 on the Company, see Item 1A titled “Risk Factors” of our Annual Report on Form 10-K for the year ended December 31, 2021.</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54"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sales or rentals of a capital component, including upgrades to the equipment attributable to the initial sale of the system. NeuroStar Advanced Therapy Systems can be purchased outright or on a rent-to-own basis by certain customers.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b w:val="1"/>
          <w:bCs w:val="1"/>
          <w:i w:val="1"/>
          <w:iCs w:val="1"/>
          <w:u w:val="single" w:color="auto"/>
          <w:color w:val="auto"/>
        </w:rPr>
        <w:t>Treatment Session Revenues</w:t>
      </w:r>
      <w:r>
        <w:rPr>
          <w:rFonts w:ascii="Arial" w:cs="Arial" w:eastAsia="Arial" w:hAnsi="Arial"/>
          <w:sz w:val="18"/>
          <w:szCs w:val="18"/>
          <w:color w:val="auto"/>
        </w:rPr>
        <w:t>. Treatment Session revenues primarily include sales of NeuroStar Treatment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Sessions and SenStar treatment links. The 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38"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 Other revenues are derived primarily from service and repair, extended warranty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D-tect sales with our existing customers.</w:t>
      </w:r>
    </w:p>
    <w:p>
      <w:pPr>
        <w:spacing w:after="0" w:line="135" w:lineRule="exact"/>
        <w:rPr>
          <w:sz w:val="20"/>
          <w:szCs w:val="20"/>
          <w:color w:val="auto"/>
        </w:rPr>
      </w:pPr>
    </w:p>
    <w:p>
      <w:pPr>
        <w:jc w:val="both"/>
        <w:ind w:left="60" w:right="399"/>
        <w:spacing w:after="0"/>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in our Form 10-K filed with the SEC on March 8, 2022. We also refer you to “Note 3. Summary of Significant Accounting Policies.”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warranty, shipping, and our operations and field service departments. We expect our total cost of revenues to increase to the extent our revenues grow.</w:t>
      </w:r>
    </w:p>
    <w:p>
      <w:pPr>
        <w:spacing w:after="0" w:line="164"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189" w:lineRule="exact"/>
        <w:rPr>
          <w:sz w:val="20"/>
          <w:szCs w:val="20"/>
          <w:color w:val="auto"/>
        </w:rPr>
      </w:pPr>
    </w:p>
    <w:p>
      <w:pPr>
        <w:ind w:left="60" w:right="59"/>
        <w:spacing w:after="0" w:line="255" w:lineRule="auto"/>
        <w:rPr>
          <w:sz w:val="20"/>
          <w:szCs w:val="20"/>
          <w:color w:val="auto"/>
        </w:rPr>
      </w:pPr>
      <w:r>
        <w:rPr>
          <w:rFonts w:ascii="Arial" w:cs="Arial" w:eastAsia="Arial" w:hAnsi="Arial"/>
          <w:sz w:val="17"/>
          <w:szCs w:val="17"/>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 conferences and trade shows, promotional and marketing activities, including direct and online marketing, practice support programs and radio media campaigns, travel and training expenses.</w:t>
      </w:r>
    </w:p>
    <w:p>
      <w:pPr>
        <w:spacing w:after="0" w:line="15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anticipate that our sales and marketing expenses will increase for the remainder of 2022 compared to same-period 2021 expenses as we continue to execute on our growth initiatives and expand our business in the United States.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79"/>
        <w:spacing w:after="0" w:line="438" w:lineRule="auto"/>
        <w:rPr>
          <w:sz w:val="20"/>
          <w:szCs w:val="20"/>
          <w:color w:val="auto"/>
        </w:rPr>
      </w:pPr>
      <w:r>
        <w:rPr>
          <w:rFonts w:ascii="Arial" w:cs="Arial" w:eastAsia="Arial" w:hAnsi="Arial"/>
          <w:sz w:val="18"/>
          <w:szCs w:val="18"/>
          <w:color w:val="auto"/>
        </w:rPr>
        <w:t xml:space="preserve">We anticipate that our general and administrative expenses will remain flat compared to our 2021 expenses. </w:t>
      </w:r>
      <w:r>
        <w:rPr>
          <w:rFonts w:ascii="Arial" w:cs="Arial" w:eastAsia="Arial" w:hAnsi="Arial"/>
          <w:sz w:val="18"/>
          <w:szCs w:val="18"/>
          <w:i w:val="1"/>
          <w:iCs w:val="1"/>
          <w:color w:val="auto"/>
        </w:rPr>
        <w:t>Research and Development Expenses</w:t>
      </w:r>
    </w:p>
    <w:p>
      <w:pPr>
        <w:spacing w:after="0" w:line="1"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7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plan to incur additional research and development expenses in the near future as we expect to continue our development of TMS Therapy for the treatment of additional patient populations and new indications related to neurohealth disorders, as well as for various hardware and software development projects. As a result, we expect our research and development expenses to increase for the remainder of 2022 compared to same-period 2021 expenses.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jc w:val="both"/>
        <w:ind w:left="60" w:right="199"/>
        <w:spacing w:after="0" w:line="274" w:lineRule="auto"/>
        <w:rPr>
          <w:sz w:val="20"/>
          <w:szCs w:val="20"/>
          <w:color w:val="auto"/>
        </w:rPr>
      </w:pPr>
      <w:r>
        <w:rPr>
          <w:rFonts w:ascii="Arial" w:cs="Arial" w:eastAsia="Arial" w:hAnsi="Arial"/>
          <w:sz w:val="17"/>
          <w:szCs w:val="17"/>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9"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Other income, net consists primarily of interest income earned on our money market account balances and note receivables.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59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Dollars</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w w:val="98"/>
              </w:rPr>
              <w:t>(in thousands, except</w:t>
            </w:r>
          </w:p>
        </w:tc>
        <w:tc>
          <w:tcPr>
            <w:tcW w:w="1060" w:type="dxa"/>
            <w:vAlign w:val="bottom"/>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rPr>
              <w:t>percentages)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56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16,498</w:t>
            </w: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7"/>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13,799</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2,699</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3,144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c>
          <w:tcPr>
            <w:tcW w:w="2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Gross Profit</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12,928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10,655</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2,273</w:t>
            </w: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Pr>
          <w:p>
            <w:pPr>
              <w:ind w:left="300"/>
              <w:spacing w:after="0" w:line="196" w:lineRule="exact"/>
              <w:rPr>
                <w:sz w:val="20"/>
                <w:szCs w:val="20"/>
                <w:color w:val="auto"/>
              </w:rPr>
            </w:pPr>
            <w:r>
              <w:rPr>
                <w:rFonts w:ascii="Arial" w:cs="Arial" w:eastAsia="Arial" w:hAnsi="Arial"/>
                <w:sz w:val="18"/>
                <w:szCs w:val="18"/>
                <w:i w:val="1"/>
                <w:iCs w:val="1"/>
                <w:color w:val="auto"/>
              </w:rPr>
              <w:t>Gross Margin</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78.4</w:t>
            </w:r>
          </w:p>
        </w:tc>
        <w:tc>
          <w:tcPr>
            <w:tcW w:w="16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77.2</w:t>
            </w:r>
          </w:p>
        </w:tc>
        <w:tc>
          <w:tcPr>
            <w:tcW w:w="20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9,827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1,816</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6,435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773</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20,382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17,837</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2,545</w:t>
            </w:r>
          </w:p>
        </w:tc>
        <w:tc>
          <w:tcPr>
            <w:tcW w:w="2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(7,182)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gridSpan w:val="2"/>
          </w:tcPr>
          <w:p>
            <w:pPr>
              <w:spacing w:after="0" w:line="196" w:lineRule="exact"/>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c>
          <w:tcPr>
            <w:tcW w:w="2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3,675 %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top w:val="single" w:sz="8" w:color="CCEEFF"/>
              <w:bottom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Net Loss</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(8,151)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gridSpan w:val="6"/>
          </w:tcPr>
          <w:p>
            <w:pPr>
              <w:jc w:val="center"/>
              <w:spacing w:after="0"/>
              <w:rPr>
                <w:sz w:val="20"/>
                <w:szCs w:val="20"/>
                <w:color w:val="auto"/>
              </w:rPr>
            </w:pPr>
            <w:r>
              <w:rPr>
                <w:rFonts w:ascii="Arial" w:cs="Arial" w:eastAsia="Arial" w:hAnsi="Arial"/>
                <w:sz w:val="14"/>
                <w:szCs w:val="14"/>
                <w:b w:val="1"/>
                <w:bCs w:val="1"/>
                <w:color w:val="auto"/>
              </w:rPr>
              <w:t>Revenues by Geography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11"/>
          </w:tcPr>
          <w:p>
            <w:pPr>
              <w:jc w:val="center"/>
              <w:ind w:right="23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3"/>
          </w:tcPr>
          <w:p>
            <w:pPr>
              <w:jc w:val="right"/>
              <w:ind w:right="579"/>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4"/>
          </w:tcPr>
          <w:p>
            <w:pPr>
              <w:jc w:val="right"/>
              <w:ind w:right="57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86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gridSpan w:val="8"/>
          </w:tcPr>
          <w:p>
            <w:pPr>
              <w:ind w:left="440"/>
              <w:spacing w:after="0" w:line="142" w:lineRule="exact"/>
              <w:rPr>
                <w:sz w:val="20"/>
                <w:szCs w:val="20"/>
                <w:color w:val="auto"/>
              </w:rPr>
            </w:pPr>
            <w:r>
              <w:rPr>
                <w:rFonts w:ascii="Arial" w:cs="Arial" w:eastAsia="Arial" w:hAnsi="Arial"/>
                <w:sz w:val="14"/>
                <w:szCs w:val="14"/>
                <w:b w:val="1"/>
                <w:bCs w:val="1"/>
                <w:color w:val="auto"/>
                <w:w w:val="96"/>
              </w:rPr>
              <w:t>(in thousands, except percentages)</w:t>
            </w:r>
          </w:p>
        </w:tc>
        <w:tc>
          <w:tcPr>
            <w:tcW w:w="700" w:type="dxa"/>
            <w:vAlign w:val="bottom"/>
            <w:gridSpan w:val="2"/>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16,244</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98 %</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13,280</w:t>
            </w: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519</w:t>
            </w:r>
          </w:p>
        </w:tc>
        <w:tc>
          <w:tcPr>
            <w:tcW w:w="10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96"/>
        </w:trPr>
        <w:tc>
          <w:tcPr>
            <w:tcW w:w="368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16,498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11"/>
          </w:tcPr>
          <w:p>
            <w:pPr>
              <w:jc w:val="center"/>
              <w:ind w:right="19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11"/>
          </w:tcPr>
          <w:p>
            <w:pPr>
              <w:jc w:val="center"/>
              <w:ind w:right="23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3"/>
          </w:tcPr>
          <w:p>
            <w:pPr>
              <w:jc w:val="right"/>
              <w:ind w:right="579"/>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4"/>
          </w:tcPr>
          <w:p>
            <w:pPr>
              <w:jc w:val="right"/>
              <w:ind w:right="57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86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gridSpan w:val="8"/>
          </w:tcPr>
          <w:p>
            <w:pPr>
              <w:ind w:left="440"/>
              <w:spacing w:after="0" w:line="142" w:lineRule="exact"/>
              <w:rPr>
                <w:sz w:val="20"/>
                <w:szCs w:val="20"/>
                <w:color w:val="auto"/>
              </w:rPr>
            </w:pPr>
            <w:r>
              <w:rPr>
                <w:rFonts w:ascii="Arial" w:cs="Arial" w:eastAsia="Arial" w:hAnsi="Arial"/>
                <w:sz w:val="14"/>
                <w:szCs w:val="14"/>
                <w:b w:val="1"/>
                <w:bCs w:val="1"/>
                <w:color w:val="auto"/>
                <w:w w:val="96"/>
              </w:rPr>
              <w:t>(in thousands, except percentages)</w:t>
            </w:r>
          </w:p>
        </w:tc>
        <w:tc>
          <w:tcPr>
            <w:tcW w:w="700" w:type="dxa"/>
            <w:vAlign w:val="bottom"/>
            <w:gridSpan w:val="2"/>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3,934</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2,612</w:t>
            </w: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11,864</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73 %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10,259</w:t>
            </w:r>
          </w:p>
        </w:tc>
        <w:tc>
          <w:tcPr>
            <w:tcW w:w="10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w:t>
            </w: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368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66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16,244</w:t>
            </w:r>
          </w:p>
        </w:tc>
        <w:tc>
          <w:tcPr>
            <w:tcW w:w="160" w:type="dxa"/>
            <w:vAlign w:val="bottom"/>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13,280</w:t>
            </w:r>
          </w:p>
        </w:tc>
        <w:tc>
          <w:tcPr>
            <w:tcW w:w="180" w:type="dxa"/>
            <w:vAlign w:val="bottom"/>
            <w:gridSpan w:val="2"/>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Total revenue for the three months ended September 30, 2022 was $16.5 million, an increase of 20% compared to the three months ended September 30, 2021 revenue of $13.8 million. During the quarter, total U.S. revenue increased by 22% and international revenue decreased by 51% over the prior year quarter. The U.S. revenue growth was primarily driven by an increase in Treatment sessions sales and the decline in international revenue was primarily driven by a decrease in international NeuroStar Advanced Therapy Systems sales.</w:t>
      </w:r>
    </w:p>
    <w:p>
      <w:pPr>
        <w:spacing w:after="0" w:line="15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U.S. NeuroStar Advanced Therapy System revenue for the three months ended September 30, 2022 was $3.9 million, an increase of 50% compared to the three months ended September 30, 2021 revenue of $ 2.6 million. For the three months ended September 30, 2022 and 2021, the Company sold 49 and 33 systems, respectively, that were recognized as NeuroStar capital revenue during each period. Additionally, for the three months ended September 30, 2022 and 2021, the Company executed 1 and 7 operating lease agreements, respectively, that contributed to operating lease revenue.</w:t>
      </w:r>
    </w:p>
    <w:p>
      <w:pPr>
        <w:spacing w:after="0" w:line="178"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U.S. Treatment Session revenue for the three months ended September 30, 2022 was $11.9 million, an increase of 16% compared to the three months ended September 30, 2021 revenue of $10.3 million. The revenue growth was primarily driven by an increase in the number of accounts utilizing our PHQ 10 tool. As a result, our treatment session volume in our local per click accounts, those utilizing our PHQ 10 tool increased 36.9% compared to third quarter of 2021.</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 of revenues increased by $0.5 million, or 14%, from $3.1 million for the three months ended</w:t>
      </w:r>
    </w:p>
    <w:p>
      <w:pPr>
        <w:ind w:left="60"/>
        <w:spacing w:after="0" w:line="234" w:lineRule="auto"/>
        <w:rPr>
          <w:sz w:val="20"/>
          <w:szCs w:val="20"/>
          <w:color w:val="auto"/>
        </w:rPr>
      </w:pPr>
      <w:r>
        <w:rPr>
          <w:rFonts w:ascii="Arial" w:cs="Arial" w:eastAsia="Arial" w:hAnsi="Arial"/>
          <w:sz w:val="18"/>
          <w:szCs w:val="18"/>
          <w:color w:val="auto"/>
        </w:rPr>
        <w:t>September 30, 2021 to $3.6 million for the three months ended September 30, 2022. Gross margin increased</w:t>
      </w:r>
    </w:p>
    <w:p>
      <w:pPr>
        <w:ind w:left="60"/>
        <w:spacing w:after="0" w:line="235" w:lineRule="auto"/>
        <w:rPr>
          <w:sz w:val="20"/>
          <w:szCs w:val="20"/>
          <w:color w:val="auto"/>
        </w:rPr>
      </w:pPr>
      <w:r>
        <w:rPr>
          <w:rFonts w:ascii="Arial" w:cs="Arial" w:eastAsia="Arial" w:hAnsi="Arial"/>
          <w:sz w:val="18"/>
          <w:szCs w:val="18"/>
          <w:color w:val="auto"/>
        </w:rPr>
        <w:t>from 77.2% for the three months ended September 30, 2021 to 78.4% for the three months ended</w:t>
      </w:r>
    </w:p>
    <w:p>
      <w:pPr>
        <w:ind w:left="60"/>
        <w:spacing w:after="0" w:line="235" w:lineRule="auto"/>
        <w:rPr>
          <w:sz w:val="20"/>
          <w:szCs w:val="20"/>
          <w:color w:val="auto"/>
        </w:rPr>
      </w:pPr>
      <w:r>
        <w:rPr>
          <w:rFonts w:ascii="Arial" w:cs="Arial" w:eastAsia="Arial" w:hAnsi="Arial"/>
          <w:sz w:val="18"/>
          <w:szCs w:val="18"/>
          <w:color w:val="auto"/>
        </w:rPr>
        <w:t>September 30, 2022. The increase was primarily a result of a change in product mix compared to the prior year</w:t>
      </w:r>
    </w:p>
    <w:p>
      <w:pPr>
        <w:ind w:left="60"/>
        <w:spacing w:after="0"/>
        <w:rPr>
          <w:sz w:val="20"/>
          <w:szCs w:val="20"/>
          <w:color w:val="auto"/>
        </w:rPr>
      </w:pPr>
      <w:r>
        <w:rPr>
          <w:rFonts w:ascii="Arial" w:cs="Arial" w:eastAsia="Arial" w:hAnsi="Arial"/>
          <w:sz w:val="18"/>
          <w:szCs w:val="18"/>
          <w:color w:val="auto"/>
        </w:rPr>
        <w:t>quarter.</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18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Sales and marketing expenses increased by $1.8 million, or 18%, from $9.8 million for the three months ended September 30, 2021 to $11.6 million for the three months ended September 30, 2022. The increase was expected and primarily due to new marketing initiative related costs, including trade shows, digital paid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media costs and market research, and sales personnel expenses related to salary, benefits, commissions and share-based compensation incurred in the current period versus the prior year quarter.</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ind w:left="60" w:right="479"/>
        <w:spacing w:after="0" w:line="246" w:lineRule="auto"/>
        <w:rPr>
          <w:sz w:val="20"/>
          <w:szCs w:val="20"/>
          <w:color w:val="auto"/>
        </w:rPr>
      </w:pPr>
      <w:r>
        <w:rPr>
          <w:rFonts w:ascii="Arial" w:cs="Arial" w:eastAsia="Arial" w:hAnsi="Arial"/>
          <w:sz w:val="18"/>
          <w:szCs w:val="18"/>
          <w:color w:val="auto"/>
        </w:rPr>
        <w:t>General and administrative expenses remained materially consistent from $6.4 million for the three months ended September 30, 2021 to $6.3 million for the three months ended September 30, 2022.</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Research and development expenses increased by $0.7 million, or 49%, from $1.6 million for the three months ended September 30, 2021 to $2.3 million for the three months ended September 30, 2022. The increase was primarily due to a reduction in product development costs related to the capitalization of certain of the Company’s software project costs, which was partially offset by an increase in clinical development costs versus the prior year quarter.</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remained constant at $1.0 million for the three months ended September 30, 2022.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Other income, net increased by $0.9 million from $0.02 million for the three months ended September 30, 2021 to $0.9 million for the three months ended September 30, 2022, primarily as a result of increased interest income earned on the Company’s note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63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Dollars</w:t>
            </w: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w w:val="97"/>
              </w:rPr>
              <w:t>(in thousands, except</w:t>
            </w: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percentages)</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47,008</w:t>
            </w: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40,290</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6,718</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11,093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8,115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2,978</w:t>
            </w:r>
          </w:p>
        </w:tc>
        <w:tc>
          <w:tcPr>
            <w:tcW w:w="2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35,915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32,175</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3,740</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ind w:left="300"/>
              <w:spacing w:after="0" w:line="196" w:lineRule="exact"/>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76.4</w:t>
            </w:r>
          </w:p>
        </w:tc>
        <w:tc>
          <w:tcPr>
            <w:tcW w:w="16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79.9</w:t>
            </w:r>
          </w:p>
        </w:tc>
        <w:tc>
          <w:tcPr>
            <w:tcW w:w="20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27,431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10,546</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19,125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19,220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(95)</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63,299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52,830</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10,469</w:t>
            </w:r>
          </w:p>
        </w:tc>
        <w:tc>
          <w:tcPr>
            <w:tcW w:w="22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(27,384)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(20,655)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(6,729)</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920" w:type="dxa"/>
            <w:vAlign w:val="bottom"/>
            <w:gridSpan w:val="2"/>
          </w:tcPr>
          <w:p>
            <w:pPr>
              <w:spacing w:after="0" w:line="196" w:lineRule="exact"/>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00" w:type="dxa"/>
            <w:vAlign w:val="bottom"/>
          </w:tcPr>
          <w:p>
            <w:pPr>
              <w:ind w:left="80"/>
              <w:spacing w:after="0" w:line="202" w:lineRule="exact"/>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7"/>
                <w:szCs w:val="17"/>
                <w:color w:val="auto"/>
              </w:rPr>
            </w:pPr>
          </w:p>
        </w:tc>
        <w:tc>
          <w:tcPr>
            <w:tcW w:w="9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(1,554)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(1,501)</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bottom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(28,869)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(23,557)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(5,312)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rPr>
              <w:t>Revenues by Geography</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660" w:type="dxa"/>
            <w:vAlign w:val="bottom"/>
            <w:gridSpan w:val="13"/>
          </w:tcPr>
          <w:p>
            <w:pPr>
              <w:ind w:left="5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580" w:type="dxa"/>
            <w:vAlign w:val="bottom"/>
            <w:tcBorders>
              <w:top w:val="single" w:sz="8" w:color="auto"/>
              <w:bottom w:val="single" w:sz="8" w:color="auto"/>
            </w:tcBorders>
            <w:gridSpan w:val="4"/>
          </w:tcPr>
          <w:p>
            <w:pPr>
              <w:jc w:val="right"/>
              <w:ind w:right="562"/>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4"/>
          </w:tcPr>
          <w:p>
            <w:pPr>
              <w:jc w:val="right"/>
              <w:ind w:right="577"/>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740" w:type="dxa"/>
            <w:vAlign w:val="bottom"/>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9"/>
              </w:rPr>
              <w:t>Revenues</w:t>
            </w:r>
          </w:p>
        </w:tc>
        <w:tc>
          <w:tcPr>
            <w:tcW w:w="96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6"/>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840" w:type="dxa"/>
            <w:vAlign w:val="bottom"/>
            <w:gridSpan w:val="10"/>
          </w:tcPr>
          <w:p>
            <w:pPr>
              <w:ind w:left="520"/>
              <w:spacing w:after="0" w:line="142" w:lineRule="exact"/>
              <w:rPr>
                <w:sz w:val="20"/>
                <w:szCs w:val="20"/>
                <w:color w:val="auto"/>
              </w:rPr>
            </w:pPr>
            <w:r>
              <w:rPr>
                <w:rFonts w:ascii="Arial" w:cs="Arial" w:eastAsia="Arial" w:hAnsi="Arial"/>
                <w:sz w:val="14"/>
                <w:szCs w:val="14"/>
                <w:b w:val="1"/>
                <w:bCs w:val="1"/>
                <w:color w:val="auto"/>
                <w:w w:val="97"/>
              </w:rPr>
              <w:t>(in thousands, except percentages)</w:t>
            </w:r>
          </w:p>
        </w:tc>
        <w:tc>
          <w:tcPr>
            <w:tcW w:w="64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$ 45,893</w:t>
            </w:r>
          </w:p>
        </w:tc>
        <w:tc>
          <w:tcPr>
            <w:tcW w:w="1140" w:type="dxa"/>
            <w:vAlign w:val="bottom"/>
            <w:tcBorders>
              <w:right w:val="single" w:sz="8" w:color="CCEEFF"/>
            </w:tcBorders>
            <w:gridSpan w:val="5"/>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38,891</w:t>
            </w:r>
          </w:p>
        </w:tc>
        <w:tc>
          <w:tcPr>
            <w:tcW w:w="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1,115</w:t>
            </w:r>
          </w:p>
        </w:tc>
        <w:tc>
          <w:tcPr>
            <w:tcW w:w="1140" w:type="dxa"/>
            <w:vAlign w:val="bottom"/>
            <w:gridSpan w:val="5"/>
          </w:tcPr>
          <w:p>
            <w:pPr>
              <w:jc w:val="right"/>
              <w:ind w:right="50"/>
              <w:spacing w:after="0" w:line="202" w:lineRule="exact"/>
              <w:rPr>
                <w:sz w:val="20"/>
                <w:szCs w:val="20"/>
                <w:color w:val="auto"/>
              </w:rPr>
            </w:pPr>
            <w:r>
              <w:rPr>
                <w:rFonts w:ascii="Arial" w:cs="Arial" w:eastAsia="Arial" w:hAnsi="Arial"/>
                <w:sz w:val="18"/>
                <w:szCs w:val="18"/>
                <w:color w:val="auto"/>
              </w:rPr>
              <w:t>2 %</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1,399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right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$ 47,008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300" w:type="dxa"/>
            <w:vAlign w:val="bottom"/>
            <w:tcBorders>
              <w:top w:val="single" w:sz="8" w:color="CCEEFF"/>
              <w:bottom w:val="single" w:sz="8" w:color="CCEEFF"/>
              <w:right w:val="single" w:sz="8" w:color="CCEEFF"/>
            </w:tcBorders>
            <w:gridSpan w:val="2"/>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40,290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60" w:type="dxa"/>
            <w:vAlign w:val="bottom"/>
            <w:gridSpan w:val="13"/>
          </w:tcPr>
          <w:p>
            <w:pPr>
              <w:ind w:left="52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660" w:type="dxa"/>
            <w:vAlign w:val="bottom"/>
            <w:gridSpan w:val="13"/>
          </w:tcPr>
          <w:p>
            <w:pPr>
              <w:ind w:left="5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580" w:type="dxa"/>
            <w:vAlign w:val="bottom"/>
            <w:tcBorders>
              <w:top w:val="single" w:sz="8" w:color="auto"/>
              <w:bottom w:val="single" w:sz="8" w:color="auto"/>
            </w:tcBorders>
            <w:gridSpan w:val="4"/>
          </w:tcPr>
          <w:p>
            <w:pPr>
              <w:jc w:val="right"/>
              <w:ind w:right="542"/>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4"/>
          </w:tcPr>
          <w:p>
            <w:pPr>
              <w:jc w:val="right"/>
              <w:ind w:right="557"/>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Revenues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840" w:type="dxa"/>
            <w:vAlign w:val="bottom"/>
            <w:gridSpan w:val="10"/>
          </w:tcPr>
          <w:p>
            <w:pPr>
              <w:ind w:left="540"/>
              <w:spacing w:after="0" w:line="142" w:lineRule="exact"/>
              <w:rPr>
                <w:sz w:val="20"/>
                <w:szCs w:val="20"/>
                <w:color w:val="auto"/>
              </w:rPr>
            </w:pPr>
            <w:r>
              <w:rPr>
                <w:rFonts w:ascii="Arial" w:cs="Arial" w:eastAsia="Arial" w:hAnsi="Arial"/>
                <w:sz w:val="14"/>
                <w:szCs w:val="14"/>
                <w:b w:val="1"/>
                <w:bCs w:val="1"/>
                <w:color w:val="auto"/>
                <w:w w:val="96"/>
              </w:rPr>
              <w:t>(in thousands, except percentages)</w:t>
            </w:r>
          </w:p>
        </w:tc>
        <w:tc>
          <w:tcPr>
            <w:tcW w:w="6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$ 11,959</w:t>
            </w:r>
          </w:p>
        </w:tc>
        <w:tc>
          <w:tcPr>
            <w:tcW w:w="1140" w:type="dxa"/>
            <w:vAlign w:val="bottom"/>
            <w:tcBorders>
              <w:right w:val="single" w:sz="8" w:color="CCEEFF"/>
            </w:tcBorders>
            <w:gridSpan w:val="5"/>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6,945</w:t>
            </w:r>
          </w:p>
        </w:tc>
        <w:tc>
          <w:tcPr>
            <w:tcW w:w="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32,627</w:t>
            </w:r>
          </w:p>
        </w:tc>
        <w:tc>
          <w:tcPr>
            <w:tcW w:w="1140" w:type="dxa"/>
            <w:vAlign w:val="bottom"/>
            <w:gridSpan w:val="5"/>
          </w:tcPr>
          <w:p>
            <w:pPr>
              <w:jc w:val="right"/>
              <w:ind w:right="30"/>
              <w:spacing w:after="0" w:line="202" w:lineRule="exact"/>
              <w:rPr>
                <w:sz w:val="20"/>
                <w:szCs w:val="20"/>
                <w:color w:val="auto"/>
              </w:rPr>
            </w:pPr>
            <w:r>
              <w:rPr>
                <w:rFonts w:ascii="Arial" w:cs="Arial" w:eastAsia="Arial" w:hAnsi="Arial"/>
                <w:sz w:val="18"/>
                <w:szCs w:val="18"/>
                <w:color w:val="auto"/>
              </w:rPr>
              <w:t>71 %</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30,688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1,307</w:t>
            </w:r>
          </w:p>
        </w:tc>
        <w:tc>
          <w:tcPr>
            <w:tcW w:w="1140" w:type="dxa"/>
            <w:vAlign w:val="bottom"/>
            <w:tcBorders>
              <w:right w:val="single" w:sz="8" w:color="CCEEFF"/>
            </w:tcBorders>
            <w:gridSpan w:val="5"/>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1,258</w:t>
            </w:r>
          </w:p>
        </w:tc>
        <w:tc>
          <w:tcPr>
            <w:tcW w:w="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$ 45,893</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26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38,891</w:t>
            </w:r>
          </w:p>
        </w:tc>
        <w:tc>
          <w:tcPr>
            <w:tcW w:w="4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Total revenue for the nine months ended September 30, 2022 was $47.0 million, an increase of 17% compared to the nine months ended September 30, 2021 revenue of $40.3 million. During the nine months ended September 30, 2022, total U.S. revenue increased by 18% and international revenue decreased by 20% over the nine months ended September 30, 2021. The U.S. revenue growth was primarily driven by an increase in Treatment Session sales and the decline in international revenue was primarily driven by a decrease in international NeuroStar Advanced Therapy Systems sales.</w:t>
      </w:r>
    </w:p>
    <w:p>
      <w:pPr>
        <w:spacing w:after="0" w:line="16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U.S. NeuroStar Advanced Therapy System revenue for the nine months ended September 30, 2022 was $12.0 million, an increase of 72% compared to the nine months ended September 30, 2021 revenue of $6.9 million. For the nine months ended September 30, 2022 and 2021, the Company sold 153 and 92 systems, respectively, that were recognized as NeuroStar capital revenue during each period. Additionally, for the nine months ended September 30, 2022 and 2021, the Company executed 2 and 7 operating lease agreements, respectively, that contributed to operating lease revenue.</w:t>
      </w:r>
    </w:p>
    <w:p>
      <w:pPr>
        <w:spacing w:after="0" w:line="17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U.S. treatment session revenue for the nine months ended September 30, 2022 was $32.6 million, an increase of 6% compared to the nine months ended September 30, 2021 revenue of $30.7 million. The revenue growth was primarily driven by an increase in the number of accounts utilizing our PHQ 10 tool. As a result, our treatment session volume in our local per click accounts, those utilizing our PHQ 10 tool increased 36.3% compared to prior year period.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 of revenues increased by $3.0 million, or 37%, from $8.1 million for the nine months ended</w:t>
      </w:r>
    </w:p>
    <w:p>
      <w:pPr>
        <w:ind w:left="60" w:right="199"/>
        <w:spacing w:after="0" w:line="238" w:lineRule="auto"/>
        <w:rPr>
          <w:sz w:val="20"/>
          <w:szCs w:val="20"/>
          <w:color w:val="auto"/>
        </w:rPr>
      </w:pPr>
      <w:r>
        <w:rPr>
          <w:rFonts w:ascii="Arial" w:cs="Arial" w:eastAsia="Arial" w:hAnsi="Arial"/>
          <w:sz w:val="18"/>
          <w:szCs w:val="18"/>
          <w:color w:val="auto"/>
        </w:rPr>
        <w:t>September 30, 2021 to $11.1 million for the nine months ended September 30, 2022. The increase was due to revenue growth versus the prior year period. Gross margin decreased from 79.9% for the nine months ended September 30, 2021 to 76.4% for the nine months ended September 30, 2022. The decrease was primarily a result of a change in the product mix of revenues versus the prior year period.</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18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Sales and marketing expenses increased by $10.6 million, or 38%, from $27.4 million for the nine months ended September 30, 2021 to $38.0 million for the nine months ended September 30, 2022. The increase was expected and primarily due to new marketing initiative related costs, including trade shows, digital paid media costs and market research, and sales personnel expenses related to salary, benefits, commissions and share-based compensation incurred versus the prior year period.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General and administrative expenses remained materially consistent from $19.2 million for the nine months ended September 30, 2021 to $19.1 million for the nine months ended September 30, 2022.</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Research and development expenses remained materially consistent at $6.2 million for the nine months ended September 30, 2022 and 2021.</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remained constant at $3.0 million for the nine months ended September 30, 2021 and 2022.</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Other income, net increased by $1.5 million from $0.05 million for the nine months ended September 30, 2021 to $1.6 million for the nine months ended September 30, 2022, primarily as a result of increased interest income earned on the Company’s note receivables.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1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On February 2, 2021, we closed on our secondary public offering and sale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 Our common stock is listed on the Nasdaq Global Market under the trading symbol “STIM”.</w:t>
      </w:r>
    </w:p>
    <w:p>
      <w:pPr>
        <w:spacing w:after="0" w:line="16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As of September 30, 2022, we had cash and cash equivalents of $73.7 million and an accumulated deficit of $337.6 million, compared to cash and cash equivalents of $94.1 million and an accumulated deficit of $308.7 million as of December 31, 2021. We incurred negative cash flows from operating activities of $27.6 million and $23.5 million for the nine months ended September 30, 2022 and 2021,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The Company’s primary sources of capital to date have been proceeds from its IPO, the Offering, private placements of its convertible preferred securities, borrowings under its credit facility and revenues from sales of its products. As of September 30, 2022, the Company had $35.0 million of borrowings outstanding under its credit facility, which has a final maturity in February 2025. Management believes that the Company’s cash and cash equivalents as of September 30, 2022 and anticipated revenues from sales of its products are sufficient to fund the Company’s operations for at least 12 months from the issuance of these financial statements.</w:t>
      </w:r>
    </w:p>
    <w:p>
      <w:pPr>
        <w:spacing w:after="0" w:line="176"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If our cash and cash equivalents and anticipated revenues from sales or our products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171" w:lineRule="exact"/>
        <w:rPr>
          <w:sz w:val="20"/>
          <w:szCs w:val="20"/>
          <w:color w:val="auto"/>
        </w:rPr>
      </w:pPr>
    </w:p>
    <w:p>
      <w:pPr>
        <w:ind w:left="960" w:hanging="437"/>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COVID-19 and related governmental responses;</w:t>
      </w:r>
    </w:p>
    <w:p>
      <w:pPr>
        <w:spacing w:after="0" w:line="198" w:lineRule="exact"/>
        <w:rPr>
          <w:rFonts w:ascii="Arial" w:cs="Arial" w:eastAsia="Arial" w:hAnsi="Arial"/>
          <w:sz w:val="18"/>
          <w:szCs w:val="18"/>
          <w:color w:val="auto"/>
        </w:rPr>
      </w:pPr>
    </w:p>
    <w:p>
      <w:pPr>
        <w:ind w:left="960" w:right="319" w:hanging="437"/>
        <w:spacing w:after="0" w:line="246"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 particularly in light of a high interest rate and high inflation environment;</w:t>
      </w:r>
    </w:p>
    <w:p>
      <w:pPr>
        <w:spacing w:after="0" w:line="156" w:lineRule="exact"/>
        <w:rPr>
          <w:rFonts w:ascii="Arial" w:cs="Arial" w:eastAsia="Arial" w:hAnsi="Arial"/>
          <w:sz w:val="18"/>
          <w:szCs w:val="18"/>
          <w:color w:val="auto"/>
        </w:rPr>
      </w:pPr>
    </w:p>
    <w:p>
      <w:pPr>
        <w:ind w:left="960" w:hanging="437"/>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the terms and conditions, including covenants, set forth in our credit facility;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184" w:lineRule="exact"/>
        <w:rPr>
          <w:rFonts w:ascii="Arial" w:cs="Arial" w:eastAsia="Arial" w:hAnsi="Arial"/>
          <w:sz w:val="18"/>
          <w:szCs w:val="18"/>
          <w:color w:val="auto"/>
        </w:rPr>
      </w:pPr>
    </w:p>
    <w:p>
      <w:pPr>
        <w:ind w:left="960" w:right="29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w:t>
      </w:r>
    </w:p>
    <w:p>
      <w:pPr>
        <w:spacing w:after="0" w:line="156" w:lineRule="exact"/>
        <w:rPr>
          <w:rFonts w:ascii="Arial" w:cs="Arial" w:eastAsia="Arial" w:hAnsi="Arial"/>
          <w:sz w:val="18"/>
          <w:szCs w:val="18"/>
          <w:color w:val="auto"/>
        </w:rPr>
      </w:pPr>
    </w:p>
    <w:p>
      <w:pPr>
        <w:ind w:left="960" w:right="29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 particularly in Japan;</w:t>
      </w:r>
    </w:p>
    <w:p>
      <w:pPr>
        <w:spacing w:after="0" w:line="169" w:lineRule="exact"/>
        <w:rPr>
          <w:rFonts w:ascii="Arial" w:cs="Arial" w:eastAsia="Arial" w:hAnsi="Arial"/>
          <w:sz w:val="18"/>
          <w:szCs w:val="18"/>
          <w:color w:val="auto"/>
        </w:rPr>
      </w:pPr>
    </w:p>
    <w:p>
      <w:pPr>
        <w:ind w:left="960" w:right="27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156" w:lineRule="exact"/>
        <w:rPr>
          <w:rFonts w:ascii="Arial" w:cs="Arial" w:eastAsia="Arial" w:hAnsi="Arial"/>
          <w:sz w:val="18"/>
          <w:szCs w:val="18"/>
          <w:color w:val="auto"/>
        </w:rPr>
      </w:pPr>
    </w:p>
    <w:p>
      <w:pPr>
        <w:ind w:left="960" w:right="45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of neurohealth disorders;</w:t>
      </w:r>
    </w:p>
    <w:p>
      <w:pPr>
        <w:spacing w:after="0" w:line="156"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98"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84" w:lineRule="exact"/>
        <w:rPr>
          <w:rFonts w:ascii="Arial" w:cs="Arial" w:eastAsia="Arial" w:hAnsi="Arial"/>
          <w:sz w:val="18"/>
          <w:szCs w:val="18"/>
          <w:color w:val="auto"/>
        </w:rPr>
      </w:pPr>
    </w:p>
    <w:p>
      <w:pPr>
        <w:ind w:left="960" w:right="319" w:hanging="437"/>
        <w:spacing w:after="0" w:line="231"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w:t>
      </w:r>
      <w:r>
        <w:rPr>
          <w:rFonts w:ascii="Arial" w:cs="Arial" w:eastAsia="Arial" w:hAnsi="Arial"/>
          <w:sz w:val="16"/>
          <w:szCs w:val="16"/>
          <w:color w:val="auto"/>
        </w:rPr>
        <w:t>tial cost of and delays in product development as a result of any regulatory oversight applicable to</w:t>
      </w:r>
      <w:r>
        <w:rPr>
          <w:rFonts w:ascii="Arial" w:cs="Arial" w:eastAsia="Arial" w:hAnsi="Arial"/>
          <w:sz w:val="18"/>
          <w:szCs w:val="18"/>
          <w:color w:val="auto"/>
        </w:rPr>
        <w:t xml:space="preserve"> </w:t>
      </w:r>
      <w:r>
        <w:rPr>
          <w:rFonts w:ascii="Arial" w:cs="Arial" w:eastAsia="Arial" w:hAnsi="Arial"/>
          <w:sz w:val="16"/>
          <w:szCs w:val="16"/>
          <w:color w:val="auto"/>
        </w:rPr>
        <w:t>our products.</w:t>
      </w:r>
    </w:p>
    <w:p>
      <w:pPr>
        <w:spacing w:after="0" w:line="169"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As of September 30, 2022, there were no significant changes to our material cash requirements as set forth in our Form 10-K, filed with the SEC on March 8, 2022.</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189"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The following table sets forth a summary of our cash flows for the nine months ended September 30, 2022 and 2021:</w:t>
      </w:r>
    </w:p>
    <w:p>
      <w:pPr>
        <w:spacing w:after="0" w:line="171" w:lineRule="exact"/>
        <w:rPr>
          <w:sz w:val="20"/>
          <w:szCs w:val="20"/>
          <w:color w:val="auto"/>
        </w:rPr>
      </w:pPr>
    </w:p>
    <w:tbl>
      <w:tblPr>
        <w:tblLayout w:type="fixed"/>
        <w:tblInd w:w="78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7"/>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4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3"/>
                <w:szCs w:val="13"/>
                <w:color w:val="auto"/>
              </w:rPr>
            </w:pPr>
          </w:p>
        </w:tc>
      </w:tr>
      <w:tr>
        <w:trPr>
          <w:trHeight w:val="142"/>
        </w:trPr>
        <w:tc>
          <w:tcPr>
            <w:tcW w:w="4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5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(27,639)</w:t>
            </w:r>
          </w:p>
        </w:tc>
        <w:tc>
          <w:tcPr>
            <w:tcW w:w="1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7"/>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(23,459)</w:t>
            </w:r>
          </w:p>
        </w:tc>
        <w:tc>
          <w:tcPr>
            <w:tcW w:w="2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7,234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(9,038)</w:t>
            </w:r>
          </w:p>
        </w:tc>
        <w:tc>
          <w:tcPr>
            <w:tcW w:w="2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82,974</w:t>
            </w:r>
          </w:p>
        </w:tc>
        <w:tc>
          <w:tcPr>
            <w:tcW w:w="20" w:type="dxa"/>
            <w:vAlign w:val="bottom"/>
            <w:shd w:val="clear" w:color="auto" w:fill="CCEEFF"/>
          </w:tcPr>
          <w:p>
            <w:pPr>
              <w:spacing w:after="0"/>
              <w:rPr>
                <w:sz w:val="17"/>
                <w:szCs w:val="17"/>
                <w:color w:val="auto"/>
              </w:rPr>
            </w:pPr>
          </w:p>
        </w:tc>
      </w:tr>
      <w:tr>
        <w:trPr>
          <w:trHeight w:val="196"/>
        </w:trPr>
        <w:tc>
          <w:tcPr>
            <w:tcW w:w="4760" w:type="dxa"/>
            <w:vAlign w:val="bottom"/>
          </w:tcPr>
          <w:p>
            <w:pPr>
              <w:ind w:left="100"/>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(20,443)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50,477</w:t>
            </w:r>
          </w:p>
        </w:tc>
        <w:tc>
          <w:tcPr>
            <w:tcW w:w="20" w:type="dxa"/>
            <w:vAlign w:val="bottom"/>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Net cash used in operating activities for the nine months ended September 30, 2022 was $ 27.6 million, consisting primarily of a net loss of $28.9 million and an increase in net operating assets of $7.1 million, partially offset by non-cash charges of $8.3 million. The increase in net operating assets was primarily due to increases in accounts receivable and inventory and decreases in accounts payable as a result of timing. Non-cash charges consisted of depreciation and amortization, non-cash interest expense, share-based compensation, and the cost of rental units purchased by customers.</w:t>
      </w:r>
    </w:p>
    <w:p>
      <w:pPr>
        <w:spacing w:after="0" w:line="17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Net cash used in operating activities for the nine months ended September 30, 2021 was $ 23.5 million, consisting primarily of a net loss of $23.6 million and an increase in net operating assets of $7.5 million, partially offset by non-cash charges of $7.6 million. The increase in net operating assets was primarily due to increases in accounts receivable and inventory and decreases in accounts payable and accrued expenses as a result of timing and the 2021 payment of the 2020 bonus compensation accrued as of December 31, 2020. Non-cash charges consisted of depreciation and amortization, non-cash interest expense, share-based compensation, and the cost of rental units purchased by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and Used in Investing Activities</w:t>
      </w:r>
    </w:p>
    <w:p>
      <w:pPr>
        <w:spacing w:after="0" w:line="18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Net cash provided by investing activities for the nine months ended September 30, 2022 was $7.2 million which was attributable to the repayment of our promissory note, partially offset by purchases of property and equipment and capitalized software costs.</w:t>
      </w:r>
    </w:p>
    <w:p>
      <w:pPr>
        <w:spacing w:after="0" w:line="162"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Net used in investing activities for the nine months ended September 30, 2021 was $9.0 million which was due to the issuance of our promissory note and purchases of property and equipment and capitalized software costs.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and Provided by Financing Activities</w:t>
      </w:r>
    </w:p>
    <w:p>
      <w:pPr>
        <w:spacing w:after="0" w:line="189" w:lineRule="exact"/>
        <w:rPr>
          <w:sz w:val="20"/>
          <w:szCs w:val="20"/>
          <w:color w:val="auto"/>
        </w:rPr>
      </w:pPr>
    </w:p>
    <w:p>
      <w:pPr>
        <w:ind w:left="60" w:right="519"/>
        <w:spacing w:after="0"/>
        <w:rPr>
          <w:sz w:val="20"/>
          <w:szCs w:val="20"/>
          <w:color w:val="auto"/>
        </w:rPr>
      </w:pPr>
      <w:r>
        <w:rPr>
          <w:rFonts w:ascii="Arial" w:cs="Arial" w:eastAsia="Arial" w:hAnsi="Arial"/>
          <w:sz w:val="18"/>
          <w:szCs w:val="18"/>
          <w:color w:val="auto"/>
        </w:rPr>
        <w:t>Net cash used in financing activities for the nine months ended September 30, 2022 was $ 0.04 million and consisted of the amendment fee paid in relation to the 2022 Solar Amendment, which was offset by cash proceeds related to stock option exercises.</w:t>
      </w:r>
    </w:p>
    <w:p>
      <w:pPr>
        <w:spacing w:after="0" w:line="17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Net cash provided by financing activities for the nine months ended September 30, 2021 was $82.9 million and primarily consisted of additional proceeds from our Offering and cash proceeds related to stock option exercises.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193"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Refer to “Note 13. Debt” in our unaudited financial statements and related notes thereto appearing elsewhere in this Quarterly Report on Form 10-Q for information regarding our current Solar credit facility.</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Offering</w:t>
      </w:r>
    </w:p>
    <w:p>
      <w:pPr>
        <w:spacing w:after="0" w:line="193"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Refer to “Note 14. Common Stock” in our unaudited financial statements and related notes thereto appearing elsewhere in this Quarterly Report on Form 10-Q for information regarding the Offering.</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0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until the earlier of the date we (i) are no longer an emerging growth company or (ii) affirmatively and irrevocably opt out of the extended transition period provided in the JOBS Act. Section 107 of the JOBS Act provides that we can elect to opt out of the extended transition period at any time, which election is irrevocable.</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We refer you to “Note 3. Summary of Significant Accounting Policies” and “Note 4. Recent Accounting Pronouncements” in “Notes to Interim Financial Statements” located in “Part I – FINANCIAL INFORMATION, 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jc w:val="both"/>
        <w:ind w:left="60" w:right="579"/>
        <w:spacing w:after="0"/>
        <w:rPr>
          <w:sz w:val="20"/>
          <w:szCs w:val="20"/>
          <w:color w:val="auto"/>
        </w:rPr>
      </w:pPr>
      <w:r>
        <w:rPr>
          <w:rFonts w:ascii="Arial" w:cs="Arial" w:eastAsia="Arial" w:hAnsi="Arial"/>
          <w:sz w:val="18"/>
          <w:szCs w:val="18"/>
          <w:color w:val="auto"/>
        </w:rPr>
        <w:t>We refer you to the information described in the “Item 7A. Quantitative and Qualitative Disclosures About Market Risk” section of the Company’s Annual Report on Form 10-K filed with the SEC on March 8, 2022. There have been no material changes to our market risk described therein.</w:t>
      </w:r>
    </w:p>
    <w:p>
      <w:pPr>
        <w:spacing w:after="0" w:line="16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continue to monitor inflationary factors, such as increases in our cost of revenues and operating expenses that may adversely affect our operating results. Although we have begun to experience price increases in certain parts of our business, inflation for the nine months ended September 30, 2022 has not had a significant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5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Principal Executive Officer and Chief Financial Officer, evaluated the effectiveness of our disclosure controls and procedures as of the end of the period covered by this Quarterly Report on Form 10-Q. Based on that evaluation, our Principal Executive Officer and our Chief Financial Officer concluded that our disclosure controls and procedures were effective at the reasonable assurance level as of September 30, 2022.</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During the quarter ended September 30, 2022, there were no changes in our internal control over financial reporting (as defined in Rule 13a-15(f) of the Exchange Act) which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r>
        <w:rPr>
          <w:rFonts w:ascii="Arial" w:cs="Arial" w:eastAsia="Arial" w:hAnsi="Arial"/>
          <w:sz w:val="16"/>
          <w:szCs w:val="16"/>
          <w:color w:val="auto"/>
        </w:rPr>
        <w:t>.</w:t>
      </w:r>
    </w:p>
    <w:p>
      <w:pPr>
        <w:spacing w:after="0" w:line="154"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tab/>
        <w:t>Risk Factors.</w:t>
      </w:r>
    </w:p>
    <w:p>
      <w:pPr>
        <w:spacing w:after="0" w:line="207"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You should carefully consider the information described in the “Risk Factors” section of the Company’s Annual Report on Form 10-K filed with the SEC on March 8, 2022. There have been no material changes to the risk factors described therein</w:t>
      </w:r>
      <w:r>
        <w:rPr>
          <w:rFonts w:ascii="Arial" w:cs="Arial" w:eastAsia="Arial" w:hAnsi="Arial"/>
          <w:sz w:val="16"/>
          <w:szCs w:val="16"/>
          <w:color w:val="auto"/>
        </w:rPr>
        <w:t>.</w:t>
      </w:r>
    </w:p>
    <w:p>
      <w:pPr>
        <w:spacing w:after="0" w:line="15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6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Not </w:t>
      </w:r>
      <w:r>
        <w:rPr>
          <w:rFonts w:ascii="Arial" w:cs="Arial" w:eastAsia="Arial" w:hAnsi="Arial"/>
          <w:sz w:val="17"/>
          <w:szCs w:val="17"/>
          <w:color w:val="auto"/>
        </w:rPr>
        <w:t>applicable</w:t>
      </w:r>
      <w:r>
        <w:rPr>
          <w:rFonts w:ascii="Arial" w:cs="Arial" w:eastAsia="Arial" w:hAnsi="Arial"/>
          <w:sz w:val="16"/>
          <w:szCs w:val="16"/>
          <w:color w:val="auto"/>
        </w:rPr>
        <w:t>.</w:t>
      </w:r>
    </w:p>
    <w:p>
      <w:pPr>
        <w:spacing w:after="0" w:line="17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Not </w:t>
      </w:r>
      <w:r>
        <w:rPr>
          <w:rFonts w:ascii="Arial" w:cs="Arial" w:eastAsia="Arial" w:hAnsi="Arial"/>
          <w:sz w:val="17"/>
          <w:szCs w:val="17"/>
          <w:color w:val="auto"/>
        </w:rPr>
        <w:t>applicable</w:t>
      </w:r>
      <w:r>
        <w:rPr>
          <w:rFonts w:ascii="Arial" w:cs="Arial" w:eastAsia="Arial" w:hAnsi="Arial"/>
          <w:sz w:val="16"/>
          <w:szCs w:val="16"/>
          <w:color w:val="auto"/>
        </w:rPr>
        <w:t>.</w:t>
      </w:r>
    </w:p>
    <w:p>
      <w:pPr>
        <w:spacing w:after="0" w:line="17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07"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6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5"/>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778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20" w:type="dxa"/>
            <w:vAlign w:val="bottom"/>
          </w:tcPr>
          <w:p>
            <w:pPr>
              <w:spacing w:after="0" w:line="169" w:lineRule="exact"/>
              <w:rPr>
                <w:sz w:val="20"/>
                <w:szCs w:val="20"/>
                <w:color w:val="auto"/>
              </w:rPr>
            </w:pPr>
            <w:r>
              <w:rPr>
                <w:rFonts w:ascii="Arial" w:cs="Arial" w:eastAsia="Arial" w:hAnsi="Arial"/>
                <w:sz w:val="18"/>
                <w:szCs w:val="18"/>
                <w:color w:val="auto"/>
              </w:rPr>
              <w:t>31.1*</w:t>
            </w:r>
          </w:p>
        </w:tc>
        <w:tc>
          <w:tcPr>
            <w:tcW w:w="7720" w:type="dxa"/>
            <w:vAlign w:val="bottom"/>
            <w:tcBorders>
              <w:bottom w:val="single" w:sz="8" w:color="0000EE"/>
            </w:tcBorders>
            <w:gridSpan w:val="6"/>
          </w:tcPr>
          <w:p>
            <w:pPr>
              <w:spacing w:after="0" w:line="169" w:lineRule="exact"/>
              <w:rPr>
                <w:sz w:val="20"/>
                <w:szCs w:val="20"/>
                <w:color w:val="auto"/>
              </w:rPr>
            </w:pPr>
            <w:r>
              <w:rPr>
                <w:rFonts w:ascii="Arial" w:cs="Arial" w:eastAsia="Arial" w:hAnsi="Arial"/>
                <w:sz w:val="18"/>
                <w:szCs w:val="18"/>
                <w:color w:val="0000EE"/>
                <w:w w:val="99"/>
              </w:rPr>
              <w:t>Certification of the Principal Executive Officer Pursuant to Section 302 of the Sarbanes-Oxley Act</w:t>
            </w:r>
          </w:p>
        </w:tc>
        <w:tc>
          <w:tcPr>
            <w:tcW w:w="60" w:type="dxa"/>
            <w:vAlign w:val="bottom"/>
          </w:tcPr>
          <w:p>
            <w:pPr>
              <w:spacing w:after="0"/>
              <w:rPr>
                <w:sz w:val="14"/>
                <w:szCs w:val="14"/>
                <w:color w:val="auto"/>
              </w:rPr>
            </w:pPr>
          </w:p>
        </w:tc>
      </w:tr>
      <w:tr>
        <w:trPr>
          <w:trHeight w:val="183"/>
        </w:trPr>
        <w:tc>
          <w:tcPr>
            <w:tcW w:w="1120" w:type="dxa"/>
            <w:vAlign w:val="bottom"/>
          </w:tcPr>
          <w:p>
            <w:pPr>
              <w:spacing w:after="0"/>
              <w:rPr>
                <w:sz w:val="15"/>
                <w:szCs w:val="15"/>
                <w:color w:val="auto"/>
              </w:rPr>
            </w:pPr>
          </w:p>
        </w:tc>
        <w:tc>
          <w:tcPr>
            <w:tcW w:w="7780" w:type="dxa"/>
            <w:vAlign w:val="bottom"/>
            <w:gridSpan w:val="7"/>
          </w:tcPr>
          <w:p>
            <w:pPr>
              <w:spacing w:after="0" w:line="182" w:lineRule="exact"/>
              <w:rPr>
                <w:sz w:val="20"/>
                <w:szCs w:val="20"/>
                <w:color w:val="auto"/>
              </w:rPr>
            </w:pPr>
            <w:r>
              <w:rPr>
                <w:rFonts w:ascii="Arial" w:cs="Arial" w:eastAsia="Arial" w:hAnsi="Arial"/>
                <w:sz w:val="18"/>
                <w:szCs w:val="18"/>
                <w:color w:val="0000EE"/>
              </w:rPr>
              <w:t>of 2002.</w:t>
            </w: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766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Certification of the Principal Financial Officer Pursuant to Section 302 of the Sarbanes-Oxley Act</w:t>
            </w:r>
          </w:p>
        </w:tc>
        <w:tc>
          <w:tcPr>
            <w:tcW w:w="120" w:type="dxa"/>
            <w:vAlign w:val="bottom"/>
            <w:gridSpan w:val="3"/>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7780" w:type="dxa"/>
            <w:vAlign w:val="bottom"/>
            <w:gridSpan w:val="7"/>
          </w:tcPr>
          <w:p>
            <w:pPr>
              <w:spacing w:after="0" w:line="182" w:lineRule="exact"/>
              <w:rPr>
                <w:sz w:val="20"/>
                <w:szCs w:val="20"/>
                <w:color w:val="auto"/>
              </w:rPr>
            </w:pPr>
            <w:r>
              <w:rPr>
                <w:rFonts w:ascii="Arial" w:cs="Arial" w:eastAsia="Arial" w:hAnsi="Arial"/>
                <w:sz w:val="18"/>
                <w:szCs w:val="18"/>
                <w:color w:val="0000EE"/>
              </w:rPr>
              <w:t>of 2002.</w:t>
            </w: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7780" w:type="dxa"/>
            <w:vAlign w:val="bottom"/>
            <w:gridSpan w:val="7"/>
          </w:tcPr>
          <w:p>
            <w:pPr>
              <w:spacing w:after="0" w:line="182" w:lineRule="exact"/>
              <w:rPr>
                <w:sz w:val="20"/>
                <w:szCs w:val="20"/>
                <w:color w:val="auto"/>
              </w:rPr>
            </w:pPr>
            <w:r>
              <w:rPr>
                <w:rFonts w:ascii="Arial" w:cs="Arial" w:eastAsia="Arial" w:hAnsi="Arial"/>
                <w:sz w:val="18"/>
                <w:szCs w:val="18"/>
                <w:color w:val="0000EE"/>
              </w:rPr>
              <w:t>Certification of Chief Executive Officer Pursuant to 18 U.S.C. Section 1350, as Adopted Pursuant</w:t>
            </w:r>
          </w:p>
        </w:tc>
      </w:tr>
      <w:tr>
        <w:trPr>
          <w:trHeight w:val="183"/>
        </w:trPr>
        <w:tc>
          <w:tcPr>
            <w:tcW w:w="112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to Section 906 of the Sarbanes-Oxley Act of 2002.</w:t>
            </w:r>
          </w:p>
        </w:tc>
        <w:tc>
          <w:tcPr>
            <w:tcW w:w="3700" w:type="dxa"/>
            <w:vAlign w:val="bottom"/>
            <w:tcBorders>
              <w:top w:val="single" w:sz="8" w:color="0000EE"/>
            </w:tcBorders>
            <w:gridSpan w:val="3"/>
          </w:tcPr>
          <w:p>
            <w:pPr>
              <w:spacing w:after="0"/>
              <w:rPr>
                <w:sz w:val="15"/>
                <w:szCs w:val="15"/>
                <w:color w:val="auto"/>
              </w:rPr>
            </w:pPr>
          </w:p>
        </w:tc>
        <w:tc>
          <w:tcPr>
            <w:tcW w:w="80" w:type="dxa"/>
            <w:vAlign w:val="bottom"/>
            <w:gridSpan w:val="2"/>
          </w:tcPr>
          <w:p>
            <w:pPr>
              <w:spacing w:after="0"/>
              <w:rPr>
                <w:sz w:val="15"/>
                <w:szCs w:val="15"/>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7780" w:type="dxa"/>
            <w:vAlign w:val="bottom"/>
            <w:gridSpan w:val="7"/>
          </w:tcPr>
          <w:p>
            <w:pPr>
              <w:spacing w:after="0" w:line="182" w:lineRule="exact"/>
              <w:rPr>
                <w:sz w:val="20"/>
                <w:szCs w:val="20"/>
                <w:color w:val="auto"/>
              </w:rPr>
            </w:pPr>
            <w:r>
              <w:rPr>
                <w:rFonts w:ascii="Arial" w:cs="Arial" w:eastAsia="Arial" w:hAnsi="Arial"/>
                <w:sz w:val="18"/>
                <w:szCs w:val="18"/>
                <w:color w:val="0000EE"/>
              </w:rPr>
              <w:t>Certification of Chief Financial Officer Pursuant to 18 U.S.C. Section 1350, as Adopted Pursuant</w:t>
            </w:r>
          </w:p>
        </w:tc>
      </w:tr>
      <w:tr>
        <w:trPr>
          <w:trHeight w:val="183"/>
        </w:trPr>
        <w:tc>
          <w:tcPr>
            <w:tcW w:w="112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to Section 906 of the Sarbanes-Oxley Act of 2002.</w:t>
            </w:r>
          </w:p>
        </w:tc>
        <w:tc>
          <w:tcPr>
            <w:tcW w:w="3640" w:type="dxa"/>
            <w:vAlign w:val="bottom"/>
            <w:tcBorders>
              <w:top w:val="single" w:sz="8" w:color="0000EE"/>
            </w:tcBorders>
          </w:tcPr>
          <w:p>
            <w:pPr>
              <w:spacing w:after="0"/>
              <w:rPr>
                <w:sz w:val="15"/>
                <w:szCs w:val="15"/>
                <w:color w:val="auto"/>
              </w:rPr>
            </w:pPr>
          </w:p>
        </w:tc>
        <w:tc>
          <w:tcPr>
            <w:tcW w:w="140" w:type="dxa"/>
            <w:vAlign w:val="bottom"/>
            <w:gridSpan w:val="4"/>
          </w:tcPr>
          <w:p>
            <w:pPr>
              <w:spacing w:after="0"/>
              <w:rPr>
                <w:sz w:val="15"/>
                <w:szCs w:val="15"/>
                <w:color w:val="auto"/>
              </w:rPr>
            </w:pPr>
          </w:p>
        </w:tc>
      </w:tr>
    </w:tbl>
    <w:p>
      <w:pPr>
        <w:spacing w:after="0" w:line="13" w:lineRule="exact"/>
        <w:rPr>
          <w:sz w:val="20"/>
          <w:szCs w:val="20"/>
          <w:color w:val="auto"/>
        </w:rPr>
      </w:pPr>
    </w:p>
    <w:p>
      <w:pPr>
        <w:ind w:left="1180" w:right="439" w:hanging="1124"/>
        <w:spacing w:after="0" w:line="23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September 30, 2022, were formatted in Inline XBRL (Extensible Business Reporting Language): (i) Consolidated Balance Sheets, (ii) Consolidated Statements of Operations, (iii) Consolidated Statements of Stockholders’ Equity, and (iv) Consolidated Statements of Cash Flows. The instance document does not appear in the Interactive Data File because its XBRL tags are imbedded within the Inline XBRL document.</w:t>
      </w:r>
    </w:p>
    <w:p>
      <w:pPr>
        <w:spacing w:after="0" w:line="4" w:lineRule="exact"/>
        <w:rPr>
          <w:sz w:val="20"/>
          <w:szCs w:val="20"/>
          <w:color w:val="auto"/>
        </w:rPr>
      </w:pPr>
    </w:p>
    <w:p>
      <w:pPr>
        <w:ind w:left="60" w:right="759" w:hanging="4"/>
        <w:spacing w:after="0" w:line="528" w:lineRule="auto"/>
        <w:tabs>
          <w:tab w:leader="none" w:pos="1186"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as Inline XBRL and included in Exhibit 101). </w:t>
      </w:r>
      <w:r>
        <w:rPr>
          <w:rFonts w:ascii="Arial" w:cs="Arial" w:eastAsia="Arial" w:hAnsi="Arial"/>
          <w:sz w:val="16"/>
          <w:szCs w:val="16"/>
          <w:color w:val="auto"/>
        </w:rPr>
        <w:t xml:space="preserve">* </w:t>
      </w: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-371475</wp:posOffset>
            </wp:positionV>
            <wp:extent cx="141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80" w:right="79" w:hanging="330"/>
        <w:spacing w:after="0" w:line="237"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8"/>
          <w:szCs w:val="18"/>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NEURONETICS, INC.</w:t>
      </w:r>
    </w:p>
    <w:p>
      <w:pPr>
        <w:spacing w:after="0" w:line="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60"/>
        <w:spacing w:after="0"/>
        <w:tabs>
          <w:tab w:leader="none" w:pos="4200" w:val="left"/>
          <w:tab w:leader="none" w:pos="474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657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Name:Keith J. Sullivan</w:t>
      </w:r>
    </w:p>
    <w:p>
      <w:pPr>
        <w:ind w:left="422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60"/>
        <w:spacing w:after="0"/>
        <w:tabs>
          <w:tab w:leader="none" w:pos="4200" w:val="left"/>
          <w:tab w:leader="none" w:pos="474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tab/>
        <w:t>/s/ Stephen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6574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Name:Stephen Furlong</w:t>
      </w:r>
    </w:p>
    <w:p>
      <w:pPr>
        <w:ind w:left="422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SVP, Chief Financial Officer and Treasurer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 Keith J. Sullivan, certify that:</w:t>
      </w:r>
    </w:p>
    <w:p>
      <w:pPr>
        <w:spacing w:after="0" w:line="23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Neuronetics, Inc.;</w:t>
      </w:r>
    </w:p>
    <w:p>
      <w:pPr>
        <w:spacing w:after="0" w:line="234" w:lineRule="exact"/>
        <w:rPr>
          <w:rFonts w:ascii="Arial" w:cs="Arial" w:eastAsia="Arial" w:hAnsi="Arial"/>
          <w:sz w:val="16"/>
          <w:szCs w:val="16"/>
          <w:color w:val="auto"/>
        </w:rPr>
      </w:pPr>
    </w:p>
    <w:p>
      <w:pPr>
        <w:jc w:val="both"/>
        <w:ind w:left="340" w:hanging="332"/>
        <w:spacing w:after="0" w:line="278"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340" w:right="20" w:hanging="332"/>
        <w:spacing w:after="0" w:line="328" w:lineRule="auto"/>
        <w:tabs>
          <w:tab w:leader="none" w:pos="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5"/>
          <w:szCs w:val="15"/>
          <w:color w:val="auto"/>
        </w:rPr>
      </w:pPr>
    </w:p>
    <w:p>
      <w:pPr>
        <w:jc w:val="both"/>
        <w:ind w:left="340" w:hanging="332"/>
        <w:spacing w:after="0" w:line="284" w:lineRule="auto"/>
        <w:tabs>
          <w:tab w:leader="none" w:pos="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w:t>
      </w:r>
    </w:p>
    <w:p>
      <w:pPr>
        <w:ind w:left="340"/>
        <w:spacing w:after="0"/>
        <w:rPr>
          <w:rFonts w:ascii="Arial" w:cs="Arial" w:eastAsia="Arial" w:hAnsi="Arial"/>
          <w:sz w:val="15"/>
          <w:szCs w:val="15"/>
          <w:color w:val="auto"/>
        </w:rPr>
      </w:pPr>
      <w:r>
        <w:rPr>
          <w:rFonts w:ascii="Arial" w:cs="Arial" w:eastAsia="Arial" w:hAnsi="Arial"/>
          <w:sz w:val="16"/>
          <w:szCs w:val="16"/>
          <w:color w:val="auto"/>
        </w:rPr>
        <w:t>13a-15(f) and 15d-15(f)) for the registrant and have:</w:t>
      </w:r>
    </w:p>
    <w:p>
      <w:pPr>
        <w:spacing w:after="0" w:line="230"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5"/>
          <w:szCs w:val="15"/>
          <w:color w:val="auto"/>
        </w:rPr>
      </w:pPr>
    </w:p>
    <w:p>
      <w:pPr>
        <w:ind w:left="660" w:right="20" w:hanging="328"/>
        <w:spacing w:after="0" w:line="293"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660" w:right="20" w:hanging="328"/>
        <w:spacing w:after="0" w:line="293"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00" w:type="dxa"/>
            <w:vAlign w:val="bottom"/>
          </w:tcPr>
          <w:p>
            <w:pPr>
              <w:spacing w:after="0"/>
              <w:rPr>
                <w:sz w:val="20"/>
                <w:szCs w:val="20"/>
                <w:color w:val="auto"/>
              </w:rPr>
            </w:pPr>
            <w:r>
              <w:rPr>
                <w:rFonts w:ascii="Arial" w:cs="Arial" w:eastAsia="Arial" w:hAnsi="Arial"/>
                <w:sz w:val="16"/>
                <w:szCs w:val="16"/>
                <w:color w:val="auto"/>
              </w:rPr>
              <w:t>Date: November 8, 2022</w:t>
            </w:r>
          </w:p>
        </w:tc>
        <w:tc>
          <w:tcPr>
            <w:tcW w:w="2160" w:type="dxa"/>
            <w:vAlign w:val="bottom"/>
          </w:tcPr>
          <w:p>
            <w:pPr>
              <w:ind w:left="1680"/>
              <w:spacing w:after="0"/>
              <w:rPr>
                <w:sz w:val="20"/>
                <w:szCs w:val="20"/>
                <w:color w:val="auto"/>
              </w:rPr>
            </w:pPr>
            <w:r>
              <w:rPr>
                <w:rFonts w:ascii="Arial" w:cs="Arial" w:eastAsia="Arial" w:hAnsi="Arial"/>
                <w:sz w:val="16"/>
                <w:szCs w:val="16"/>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Keith J. Sullivan</w:t>
            </w:r>
          </w:p>
        </w:tc>
      </w:tr>
      <w:tr>
        <w:trPr>
          <w:trHeight w:val="206"/>
        </w:trPr>
        <w:tc>
          <w:tcPr>
            <w:tcW w:w="3300" w:type="dxa"/>
            <w:vAlign w:val="bottom"/>
          </w:tcPr>
          <w:p>
            <w:pPr>
              <w:spacing w:after="0"/>
              <w:rPr>
                <w:sz w:val="17"/>
                <w:szCs w:val="17"/>
                <w:color w:val="auto"/>
              </w:rPr>
            </w:pPr>
          </w:p>
        </w:tc>
        <w:tc>
          <w:tcPr>
            <w:tcW w:w="2160" w:type="dxa"/>
            <w:vAlign w:val="bottom"/>
          </w:tcPr>
          <w:p>
            <w:pPr>
              <w:ind w:left="1680"/>
              <w:spacing w:after="0"/>
              <w:rPr>
                <w:sz w:val="20"/>
                <w:szCs w:val="20"/>
                <w:color w:val="auto"/>
              </w:rPr>
            </w:pPr>
            <w:r>
              <w:rPr>
                <w:rFonts w:ascii="Arial" w:cs="Arial" w:eastAsia="Arial" w:hAnsi="Arial"/>
                <w:sz w:val="16"/>
                <w:szCs w:val="16"/>
                <w:color w:val="auto"/>
                <w:w w:val="97"/>
              </w:rPr>
              <w:t>Name:</w:t>
            </w:r>
          </w:p>
        </w:tc>
        <w:tc>
          <w:tcPr>
            <w:tcW w:w="4460" w:type="dxa"/>
            <w:vAlign w:val="bottom"/>
          </w:tcPr>
          <w:p>
            <w:pPr>
              <w:spacing w:after="0"/>
              <w:rPr>
                <w:sz w:val="20"/>
                <w:szCs w:val="20"/>
                <w:color w:val="auto"/>
              </w:rPr>
            </w:pPr>
            <w:r>
              <w:rPr>
                <w:rFonts w:ascii="Arial" w:cs="Arial" w:eastAsia="Arial" w:hAnsi="Arial"/>
                <w:sz w:val="16"/>
                <w:szCs w:val="16"/>
                <w:color w:val="auto"/>
              </w:rPr>
              <w:t>Keith J. Sullivan</w:t>
            </w:r>
          </w:p>
        </w:tc>
      </w:tr>
      <w:tr>
        <w:trPr>
          <w:trHeight w:val="206"/>
        </w:trPr>
        <w:tc>
          <w:tcPr>
            <w:tcW w:w="3300" w:type="dxa"/>
            <w:vAlign w:val="bottom"/>
          </w:tcPr>
          <w:p>
            <w:pPr>
              <w:spacing w:after="0"/>
              <w:rPr>
                <w:sz w:val="17"/>
                <w:szCs w:val="17"/>
                <w:color w:val="auto"/>
              </w:rPr>
            </w:pPr>
          </w:p>
        </w:tc>
        <w:tc>
          <w:tcPr>
            <w:tcW w:w="2160" w:type="dxa"/>
            <w:vAlign w:val="bottom"/>
          </w:tcPr>
          <w:p>
            <w:pPr>
              <w:ind w:left="1680"/>
              <w:spacing w:after="0"/>
              <w:rPr>
                <w:sz w:val="20"/>
                <w:szCs w:val="20"/>
                <w:color w:val="auto"/>
              </w:rPr>
            </w:pPr>
            <w:r>
              <w:rPr>
                <w:rFonts w:ascii="Arial" w:cs="Arial" w:eastAsia="Arial" w:hAnsi="Arial"/>
                <w:sz w:val="16"/>
                <w:szCs w:val="16"/>
                <w:color w:val="auto"/>
              </w:rPr>
              <w:t>Title:</w:t>
            </w:r>
          </w:p>
        </w:tc>
        <w:tc>
          <w:tcPr>
            <w:tcW w:w="44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30"/>
        </w:trPr>
        <w:tc>
          <w:tcPr>
            <w:tcW w:w="3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810"/>
        </w:trPr>
        <w:tc>
          <w:tcPr>
            <w:tcW w:w="3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 Stephen Furlong, certify that:</w:t>
      </w:r>
    </w:p>
    <w:p>
      <w:pPr>
        <w:spacing w:after="0" w:line="23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Neuronetics, Inc.;</w:t>
      </w:r>
    </w:p>
    <w:p>
      <w:pPr>
        <w:spacing w:after="0" w:line="234" w:lineRule="exact"/>
        <w:rPr>
          <w:rFonts w:ascii="Arial" w:cs="Arial" w:eastAsia="Arial" w:hAnsi="Arial"/>
          <w:sz w:val="16"/>
          <w:szCs w:val="16"/>
          <w:color w:val="auto"/>
        </w:rPr>
      </w:pPr>
    </w:p>
    <w:p>
      <w:pPr>
        <w:jc w:val="both"/>
        <w:ind w:left="340" w:hanging="332"/>
        <w:spacing w:after="0" w:line="278"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340" w:right="20" w:hanging="332"/>
        <w:spacing w:after="0" w:line="328" w:lineRule="auto"/>
        <w:tabs>
          <w:tab w:leader="none" w:pos="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5"/>
          <w:szCs w:val="15"/>
          <w:color w:val="auto"/>
        </w:rPr>
      </w:pPr>
    </w:p>
    <w:p>
      <w:pPr>
        <w:jc w:val="both"/>
        <w:ind w:left="340" w:right="20" w:hanging="332"/>
        <w:spacing w:after="0" w:line="278"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5"/>
          <w:szCs w:val="15"/>
          <w:color w:val="auto"/>
        </w:rPr>
      </w:pPr>
    </w:p>
    <w:p>
      <w:pPr>
        <w:ind w:left="660" w:right="20" w:hanging="328"/>
        <w:spacing w:after="0" w:line="293"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660" w:right="20" w:hanging="328"/>
        <w:spacing w:after="0" w:line="293"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00" w:type="dxa"/>
            <w:vAlign w:val="bottom"/>
          </w:tcPr>
          <w:p>
            <w:pPr>
              <w:spacing w:after="0"/>
              <w:rPr>
                <w:sz w:val="20"/>
                <w:szCs w:val="20"/>
                <w:color w:val="auto"/>
              </w:rPr>
            </w:pPr>
            <w:r>
              <w:rPr>
                <w:rFonts w:ascii="Arial" w:cs="Arial" w:eastAsia="Arial" w:hAnsi="Arial"/>
                <w:sz w:val="16"/>
                <w:szCs w:val="16"/>
                <w:color w:val="auto"/>
              </w:rPr>
              <w:t>Date: November 8, 2022</w:t>
            </w:r>
          </w:p>
        </w:tc>
        <w:tc>
          <w:tcPr>
            <w:tcW w:w="2160" w:type="dxa"/>
            <w:vAlign w:val="bottom"/>
          </w:tcPr>
          <w:p>
            <w:pPr>
              <w:ind w:left="1680"/>
              <w:spacing w:after="0"/>
              <w:rPr>
                <w:sz w:val="20"/>
                <w:szCs w:val="20"/>
                <w:color w:val="auto"/>
              </w:rPr>
            </w:pPr>
            <w:r>
              <w:rPr>
                <w:rFonts w:ascii="Arial" w:cs="Arial" w:eastAsia="Arial" w:hAnsi="Arial"/>
                <w:sz w:val="16"/>
                <w:szCs w:val="16"/>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Furlong</w:t>
            </w:r>
          </w:p>
        </w:tc>
      </w:tr>
      <w:tr>
        <w:trPr>
          <w:trHeight w:val="203"/>
        </w:trPr>
        <w:tc>
          <w:tcPr>
            <w:tcW w:w="3300" w:type="dxa"/>
            <w:vAlign w:val="bottom"/>
          </w:tcPr>
          <w:p>
            <w:pPr>
              <w:spacing w:after="0"/>
              <w:rPr>
                <w:sz w:val="17"/>
                <w:szCs w:val="17"/>
                <w:color w:val="auto"/>
              </w:rPr>
            </w:pPr>
          </w:p>
        </w:tc>
        <w:tc>
          <w:tcPr>
            <w:tcW w:w="2160" w:type="dxa"/>
            <w:vAlign w:val="bottom"/>
          </w:tcPr>
          <w:p>
            <w:pPr>
              <w:ind w:left="1680"/>
              <w:spacing w:after="0"/>
              <w:rPr>
                <w:sz w:val="20"/>
                <w:szCs w:val="20"/>
                <w:color w:val="auto"/>
              </w:rPr>
            </w:pPr>
            <w:r>
              <w:rPr>
                <w:rFonts w:ascii="Arial" w:cs="Arial" w:eastAsia="Arial" w:hAnsi="Arial"/>
                <w:sz w:val="16"/>
                <w:szCs w:val="16"/>
                <w:color w:val="auto"/>
                <w:w w:val="97"/>
              </w:rPr>
              <w:t>Name:</w:t>
            </w:r>
          </w:p>
        </w:tc>
        <w:tc>
          <w:tcPr>
            <w:tcW w:w="4460" w:type="dxa"/>
            <w:vAlign w:val="bottom"/>
          </w:tcPr>
          <w:p>
            <w:pPr>
              <w:spacing w:after="0"/>
              <w:rPr>
                <w:sz w:val="20"/>
                <w:szCs w:val="20"/>
                <w:color w:val="auto"/>
              </w:rPr>
            </w:pPr>
            <w:r>
              <w:rPr>
                <w:rFonts w:ascii="Arial" w:cs="Arial" w:eastAsia="Arial" w:hAnsi="Arial"/>
                <w:sz w:val="16"/>
                <w:szCs w:val="16"/>
                <w:color w:val="auto"/>
              </w:rPr>
              <w:t>Stephen Furlong</w:t>
            </w:r>
          </w:p>
        </w:tc>
      </w:tr>
      <w:tr>
        <w:trPr>
          <w:trHeight w:val="230"/>
        </w:trPr>
        <w:tc>
          <w:tcPr>
            <w:tcW w:w="3300" w:type="dxa"/>
            <w:vAlign w:val="bottom"/>
          </w:tcPr>
          <w:p>
            <w:pPr>
              <w:spacing w:after="0"/>
              <w:rPr>
                <w:sz w:val="19"/>
                <w:szCs w:val="19"/>
                <w:color w:val="auto"/>
              </w:rPr>
            </w:pPr>
          </w:p>
        </w:tc>
        <w:tc>
          <w:tcPr>
            <w:tcW w:w="2160" w:type="dxa"/>
            <w:vAlign w:val="bottom"/>
          </w:tcPr>
          <w:p>
            <w:pPr>
              <w:ind w:left="1680"/>
              <w:spacing w:after="0"/>
              <w:rPr>
                <w:sz w:val="20"/>
                <w:szCs w:val="20"/>
                <w:color w:val="auto"/>
              </w:rPr>
            </w:pPr>
            <w:r>
              <w:rPr>
                <w:rFonts w:ascii="Arial" w:cs="Arial" w:eastAsia="Arial" w:hAnsi="Arial"/>
                <w:sz w:val="16"/>
                <w:szCs w:val="16"/>
                <w:color w:val="auto"/>
              </w:rPr>
              <w:t>Title:</w:t>
            </w:r>
          </w:p>
        </w:tc>
        <w:tc>
          <w:tcPr>
            <w:tcW w:w="4460" w:type="dxa"/>
            <w:vAlign w:val="bottom"/>
          </w:tcPr>
          <w:p>
            <w:pPr>
              <w:spacing w:after="0"/>
              <w:rPr>
                <w:sz w:val="20"/>
                <w:szCs w:val="20"/>
                <w:color w:val="auto"/>
              </w:rPr>
            </w:pPr>
            <w:r>
              <w:rPr>
                <w:rFonts w:ascii="Arial" w:cs="Arial" w:eastAsia="Arial" w:hAnsi="Arial"/>
                <w:sz w:val="16"/>
                <w:szCs w:val="16"/>
                <w:color w:val="auto"/>
              </w:rPr>
              <w:t>SVP, Chief Financial Officer and Treasurer</w:t>
            </w:r>
          </w:p>
        </w:tc>
      </w:tr>
      <w:tr>
        <w:trPr>
          <w:trHeight w:val="206"/>
        </w:trPr>
        <w:tc>
          <w:tcPr>
            <w:tcW w:w="3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810"/>
        </w:trPr>
        <w:tc>
          <w:tcPr>
            <w:tcW w:w="3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In connection with the quarterly report on Form 10-Q of Neuronetics, Inc. (the “Company”) for the fiscal quarter ended September 30, 2022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980" w:right="360" w:hanging="324"/>
        <w:spacing w:after="0" w:line="293"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6"/>
          <w:szCs w:val="16"/>
          <w:color w:val="auto"/>
        </w:rPr>
        <w:t>Date: November 8,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Keith J. Sullivan</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-112395</wp:posOffset>
            </wp:positionV>
            <wp:extent cx="2828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 w:lineRule="exact"/>
        <w:rPr>
          <w:sz w:val="20"/>
          <w:szCs w:val="20"/>
          <w:color w:val="auto"/>
        </w:rPr>
      </w:pPr>
    </w:p>
    <w:p>
      <w:pPr>
        <w:ind w:left="4980"/>
        <w:spacing w:after="0"/>
        <w:tabs>
          <w:tab w:leader="none" w:pos="54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President and Chief Executive Officer</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In connection with the quarterly report on Form 10-Q of Neuronetics, Inc. (the “Company”) for the fiscal quarter ended September 30, 2022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980" w:right="360" w:hanging="324"/>
        <w:spacing w:after="0" w:line="293"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6"/>
          <w:szCs w:val="16"/>
          <w:color w:val="auto"/>
        </w:rPr>
        <w:t>Date: November 8,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Stephen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17780</wp:posOffset>
            </wp:positionV>
            <wp:extent cx="2828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 Stephen Furlong</w:t>
      </w:r>
    </w:p>
    <w:p>
      <w:pPr>
        <w:spacing w:after="0" w:line="22" w:lineRule="exact"/>
        <w:rPr>
          <w:sz w:val="20"/>
          <w:szCs w:val="20"/>
          <w:color w:val="auto"/>
        </w:rPr>
      </w:pPr>
    </w:p>
    <w:p>
      <w:pPr>
        <w:ind w:left="4980"/>
        <w:spacing w:after="0"/>
        <w:tabs>
          <w:tab w:leader="none" w:pos="54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SVP, Chief Financial Officer and Treasurer</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0"/>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decimal"/>
      <w:start w:val="12"/>
    </w:lvl>
  </w:abstractNum>
  <w:abstractNum w:abstractNumId="14">
    <w:nsid w:val="6763845E"/>
    <w:multiLevelType w:val="hybridMultilevel"/>
    <w:lvl w:ilvl="0">
      <w:lvlJc w:val="left"/>
      <w:lvlText w:val="%1."/>
      <w:numFmt w:val="decimal"/>
      <w:start w:val="13"/>
    </w:lvl>
  </w:abstractNum>
  <w:abstractNum w:abstractNumId="15">
    <w:nsid w:val="75A2A8D4"/>
    <w:multiLevelType w:val="hybridMultilevel"/>
    <w:lvl w:ilvl="0">
      <w:lvlJc w:val="left"/>
      <w:lvlText w:val="(%1)"/>
      <w:numFmt w:val="lowerRoman"/>
      <w:start w:val="5"/>
    </w:lvl>
  </w:abstractNum>
  <w:abstractNum w:abstractNumId="16">
    <w:nsid w:val="8EDBDAB"/>
    <w:multiLevelType w:val="hybridMultilevel"/>
    <w:lvl w:ilvl="0">
      <w:lvlJc w:val="left"/>
      <w:lvlText w:val="%1."/>
      <w:numFmt w:val="decimal"/>
      <w:start w:val="14"/>
    </w:lvl>
  </w:abstractNum>
  <w:abstractNum w:abstractNumId="17">
    <w:nsid w:val="79838CB2"/>
    <w:multiLevelType w:val="hybridMultilevel"/>
    <w:lvl w:ilvl="0">
      <w:lvlJc w:val="left"/>
      <w:lvlText w:val="%1."/>
      <w:numFmt w:val="decimal"/>
      <w:start w:val="15"/>
    </w:lvl>
  </w:abstractNum>
  <w:abstractNum w:abstractNumId="18">
    <w:nsid w:val="4353D0CD"/>
    <w:multiLevelType w:val="hybridMultilevel"/>
    <w:lvl w:ilvl="0">
      <w:lvlJc w:val="left"/>
      <w:lvlText w:val="%1."/>
      <w:numFmt w:val="decimal"/>
      <w:start w:val="16"/>
    </w:lvl>
  </w:abstractNum>
  <w:abstractNum w:abstractNumId="19">
    <w:nsid w:val="B03E0C6"/>
    <w:multiLevelType w:val="hybridMultilevel"/>
    <w:lvl w:ilvl="0">
      <w:lvlJc w:val="left"/>
      <w:lvlText w:val="%1."/>
      <w:numFmt w:val="decimal"/>
      <w:start w:val="17"/>
    </w:lvl>
  </w:abstractNum>
  <w:abstractNum w:abstractNumId="20">
    <w:nsid w:val="189A769B"/>
    <w:multiLevelType w:val="hybridMultilevel"/>
    <w:lvl w:ilvl="0">
      <w:lvlJc w:val="left"/>
      <w:lvlText w:val="%1."/>
      <w:numFmt w:val="decimal"/>
      <w:start w:val="18"/>
    </w:lvl>
  </w:abstractNum>
  <w:abstractNum w:abstractNumId="21">
    <w:nsid w:val="54E49EB4"/>
    <w:multiLevelType w:val="hybridMultilevel"/>
    <w:lvl w:ilvl="0">
      <w:lvlJc w:val="left"/>
      <w:lvlText w:val="%1."/>
      <w:numFmt w:val="decimal"/>
      <w:start w:val="19"/>
    </w:lvl>
  </w:abstractNum>
  <w:abstractNum w:abstractNumId="22">
    <w:nsid w:val="71F32454"/>
    <w:multiLevelType w:val="hybridMultilevel"/>
    <w:lvl w:ilvl="0">
      <w:lvlJc w:val="left"/>
      <w:lvlText w:val="%1."/>
      <w:numFmt w:val="decimal"/>
      <w:start w:val="20"/>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01"/>
    </w:lvl>
  </w:abstractNum>
  <w:abstractNum w:abstractNumId="26">
    <w:nsid w:val="3A95F874"/>
    <w:multiLevelType w:val="hybridMultilevel"/>
    <w:lvl w:ilvl="0">
      <w:lvlJc w:val="left"/>
      <w:lvlText w:val="*"/>
      <w:numFmt w:val="bullet"/>
      <w:start w:val="1"/>
    </w:lvl>
    <w:lvl w:ilvl="1">
      <w:lvlJc w:val="left"/>
      <w:lvlText w:val="%2"/>
      <w:numFmt w:val="decimal"/>
      <w:start w:val="104"/>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2022-11-08T16:45:55Z</dcterms:created>
  <dcterms:modified xsi:type="dcterms:W3CDTF">2022-11-08T16:45:55Z</dcterms:modified>
</cp:coreProperties>
</file>