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NEURONETICS,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p>
      <w:pPr>
        <w:spacing w:after="0" w:line="17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33-1051425</w:t>
      </w:r>
    </w:p>
    <w:p>
      <w:pPr>
        <w:spacing w:after="0" w:line="43" w:lineRule="exact"/>
        <w:rPr>
          <w:sz w:val="24"/>
          <w:szCs w:val="24"/>
          <w:color w:val="auto"/>
        </w:rPr>
      </w:pPr>
    </w:p>
    <w:p>
      <w:pPr>
        <w:sectPr>
          <w:pgSz w:w="11900" w:h="16838" w:orient="portrait"/>
          <w:cols w:equalWidth="0" w:num="2">
            <w:col w:w="7480" w:space="720"/>
            <w:col w:w="3220"/>
          </w:cols>
          <w:pgMar w:left="240" w:top="422" w:right="239" w:bottom="1440" w:gutter="0" w:footer="0" w:header="0"/>
          <w:type w:val="continuous"/>
        </w:sect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14" w:lineRule="exact"/>
        <w:rPr>
          <w:sz w:val="24"/>
          <w:szCs w:val="24"/>
          <w:color w:val="auto"/>
        </w:rPr>
      </w:pPr>
    </w:p>
    <w:p>
      <w:pPr>
        <w:sectPr>
          <w:pgSz w:w="11900" w:h="16838" w:orient="portrait"/>
          <w:cols w:equalWidth="0" w:num="2">
            <w:col w:w="6820" w:space="720"/>
            <w:col w:w="3880"/>
          </w:cols>
          <w:pgMar w:left="240" w:top="42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3222 Phoenixville Pike, Malvern, Pennsylvania 19355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(610) 640-4202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220" w:type="dxa"/>
            <w:vAlign w:val="bottom"/>
            <w:gridSpan w:val="5"/>
          </w:tcPr>
          <w:p>
            <w:pPr>
              <w:jc w:val="center"/>
              <w:ind w:right="373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15"/>
        </w:trPr>
        <w:tc>
          <w:tcPr>
            <w:tcW w:w="220" w:type="dxa"/>
            <w:vAlign w:val="bottom"/>
          </w:tcPr>
          <w:p>
            <w:pPr>
              <w:spacing w:after="0"/>
              <w:rPr>
                <w:sz w:val="18"/>
                <w:szCs w:val="18"/>
                <w:color w:val="auto"/>
              </w:rPr>
            </w:pPr>
          </w:p>
        </w:tc>
        <w:tc>
          <w:tcPr>
            <w:tcW w:w="3800" w:type="dxa"/>
            <w:vAlign w:val="bottom"/>
            <w:tcBorders>
              <w:bottom w:val="single" w:sz="8" w:color="auto"/>
            </w:tcBorders>
          </w:tcPr>
          <w:p>
            <w:pPr>
              <w:jc w:val="center"/>
              <w:ind w:left="639"/>
              <w:spacing w:after="0"/>
              <w:rPr>
                <w:sz w:val="20"/>
                <w:szCs w:val="20"/>
                <w:color w:val="auto"/>
              </w:rPr>
            </w:pPr>
            <w:r>
              <w:rPr>
                <w:rFonts w:ascii="Arial" w:cs="Arial" w:eastAsia="Arial" w:hAnsi="Arial"/>
                <w:sz w:val="14"/>
                <w:szCs w:val="14"/>
                <w:b w:val="1"/>
                <w:bCs w:val="1"/>
                <w:color w:val="auto"/>
                <w:w w:val="89"/>
              </w:rPr>
              <w:t>Title of each class</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8"/>
                <w:szCs w:val="18"/>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220" w:type="dxa"/>
            <w:vAlign w:val="bottom"/>
          </w:tcPr>
          <w:p>
            <w:pPr>
              <w:spacing w:after="0"/>
              <w:rPr>
                <w:sz w:val="19"/>
                <w:szCs w:val="19"/>
                <w:color w:val="auto"/>
              </w:rPr>
            </w:pPr>
          </w:p>
        </w:tc>
        <w:tc>
          <w:tcPr>
            <w:tcW w:w="3800" w:type="dxa"/>
            <w:vAlign w:val="bottom"/>
          </w:tcPr>
          <w:p>
            <w:pPr>
              <w:jc w:val="center"/>
              <w:ind w:left="659"/>
              <w:spacing w:after="0"/>
              <w:rPr>
                <w:sz w:val="20"/>
                <w:szCs w:val="20"/>
                <w:color w:val="auto"/>
              </w:rPr>
            </w:pPr>
            <w:r>
              <w:rPr>
                <w:rFonts w:ascii="Arial" w:cs="Arial" w:eastAsia="Arial" w:hAnsi="Arial"/>
                <w:sz w:val="18"/>
                <w:szCs w:val="18"/>
                <w:color w:val="auto"/>
                <w:w w:val="89"/>
              </w:rPr>
              <w:t>Common Stock, par value $0.01 per share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STIM</w:t>
            </w:r>
          </w:p>
        </w:tc>
        <w:tc>
          <w:tcPr>
            <w:tcW w:w="10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3"/>
        </w:trPr>
        <w:tc>
          <w:tcPr>
            <w:tcW w:w="40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59"/>
        </w:trPr>
        <w:tc>
          <w:tcPr>
            <w:tcW w:w="1124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43"/>
        </w:trPr>
        <w:tc>
          <w:tcPr>
            <w:tcW w:w="658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w:t>
            </w:r>
          </w:p>
        </w:tc>
        <w:tc>
          <w:tcPr>
            <w:tcW w:w="46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3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50" w:lineRule="exact"/>
        <w:tabs>
          <w:tab w:leader="none" w:pos="71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ind w:right="100"/>
        <w:spacing w:after="0" w:line="291"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2019) was approximately $226.1 million.</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29, 2020 was 18,669,927.</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2020 Annual Meeting of Stockholders, which will be filed with the Securities and Exchange Commission within 120 days after the end of the Registrant’s fiscal year ended December 31,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year ended December 31, 2019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3"/>
              </w:rPr>
              <w:t>Page</w:t>
            </w:r>
          </w:p>
        </w:tc>
      </w:tr>
      <w:tr>
        <w:trPr>
          <w:trHeight w:val="291"/>
        </w:trPr>
        <w:tc>
          <w:tcPr>
            <w:tcW w:w="1092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30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30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20" w:type="dxa"/>
            <w:vAlign w:val="bottom"/>
            <w:gridSpan w:val="11"/>
          </w:tcPr>
          <w:p>
            <w:pPr>
              <w:jc w:val="center"/>
              <w:ind w:right="498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420" w:type="dxa"/>
            <w:vAlign w:val="bottom"/>
            <w:gridSpan w:val="15"/>
          </w:tcPr>
          <w:p>
            <w:pPr>
              <w:spacing w:after="0"/>
              <w:rPr>
                <w:sz w:val="21"/>
                <w:szCs w:val="21"/>
                <w:color w:val="auto"/>
              </w:rPr>
            </w:pPr>
          </w:p>
        </w:tc>
        <w:tc>
          <w:tcPr>
            <w:tcW w:w="540" w:type="dxa"/>
            <w:vAlign w:val="bottom"/>
            <w:tcBorders>
              <w:top w:val="single" w:sz="8" w:color="0000EE"/>
            </w:tcBorders>
            <w:gridSpan w:val="3"/>
          </w:tcPr>
          <w:p>
            <w:pPr>
              <w:spacing w:after="0"/>
              <w:rPr>
                <w:sz w:val="21"/>
                <w:szCs w:val="21"/>
                <w:color w:val="auto"/>
              </w:rPr>
            </w:pPr>
          </w:p>
        </w:tc>
        <w:tc>
          <w:tcPr>
            <w:tcW w:w="4980" w:type="dxa"/>
            <w:vAlign w:val="bottom"/>
            <w:gridSpan w:val="8"/>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62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3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1B.</w:t>
            </w:r>
          </w:p>
        </w:tc>
        <w:tc>
          <w:tcPr>
            <w:tcW w:w="962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2.</w:t>
            </w:r>
          </w:p>
        </w:tc>
        <w:tc>
          <w:tcPr>
            <w:tcW w:w="208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7540" w:type="dxa"/>
            <w:vAlign w:val="bottom"/>
            <w:gridSpan w:val="18"/>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3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3.</w:t>
            </w:r>
          </w:p>
        </w:tc>
        <w:tc>
          <w:tcPr>
            <w:tcW w:w="13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8240" w:type="dxa"/>
            <w:vAlign w:val="bottom"/>
            <w:gridSpan w:val="22"/>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4.</w:t>
            </w:r>
          </w:p>
        </w:tc>
        <w:tc>
          <w:tcPr>
            <w:tcW w:w="962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520"/>
        </w:trPr>
        <w:tc>
          <w:tcPr>
            <w:tcW w:w="130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PART II</w:t>
              </w:r>
            </w:hyperlink>
          </w:p>
        </w:tc>
        <w:tc>
          <w:tcPr>
            <w:tcW w:w="494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6.</w:t>
            </w:r>
          </w:p>
        </w:tc>
        <w:tc>
          <w:tcPr>
            <w:tcW w:w="962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Selected Financial Data.</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3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7.</w:t>
            </w:r>
          </w:p>
        </w:tc>
        <w:tc>
          <w:tcPr>
            <w:tcW w:w="65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7A.</w:t>
            </w:r>
          </w:p>
        </w:tc>
        <w:tc>
          <w:tcPr>
            <w:tcW w:w="44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Quantitative and Qualitative Disclosures About Market Risk.</w:t>
              </w:r>
            </w:hyperlink>
          </w:p>
        </w:tc>
        <w:tc>
          <w:tcPr>
            <w:tcW w:w="5220" w:type="dxa"/>
            <w:vAlign w:val="bottom"/>
            <w:gridSpan w:val="9"/>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8.</w:t>
            </w:r>
          </w:p>
        </w:tc>
        <w:tc>
          <w:tcPr>
            <w:tcW w:w="962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3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Changes in and Disagreements with Accountants on Accounting and Financial Disclosure.</w:t>
              </w:r>
            </w:hyperlink>
          </w:p>
        </w:tc>
        <w:tc>
          <w:tcPr>
            <w:tcW w:w="3100" w:type="dxa"/>
            <w:vAlign w:val="bottom"/>
            <w:gridSpan w:val="3"/>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9A.</w:t>
            </w:r>
          </w:p>
        </w:tc>
        <w:tc>
          <w:tcPr>
            <w:tcW w:w="962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9B.</w:t>
            </w:r>
          </w:p>
        </w:tc>
        <w:tc>
          <w:tcPr>
            <w:tcW w:w="1800" w:type="dxa"/>
            <w:vAlign w:val="bottom"/>
            <w:tcBorders>
              <w:top w:val="single" w:sz="8" w:color="0000EE"/>
            </w:tcBorders>
            <w:gridSpan w:val="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7820" w:type="dxa"/>
            <w:vAlign w:val="bottom"/>
            <w:gridSpan w:val="20"/>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520"/>
        </w:trPr>
        <w:tc>
          <w:tcPr>
            <w:tcW w:w="130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gridSpan w:val="13"/>
          </w:tcPr>
          <w:p>
            <w:pPr>
              <w:jc w:val="center"/>
              <w:ind w:right="4920"/>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PART III</w:t>
              </w:r>
            </w:hyperlink>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Directors, Executive Officers and Corporate Governance.</w:t>
              </w:r>
            </w:hyperlink>
          </w:p>
        </w:tc>
        <w:tc>
          <w:tcPr>
            <w:tcW w:w="5480" w:type="dxa"/>
            <w:vAlign w:val="bottom"/>
            <w:gridSpan w:val="10"/>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11.</w:t>
            </w:r>
          </w:p>
        </w:tc>
        <w:tc>
          <w:tcPr>
            <w:tcW w:w="9620" w:type="dxa"/>
            <w:vAlign w:val="bottom"/>
            <w:gridSpan w:val="2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30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12.</w:t>
            </w:r>
          </w:p>
        </w:tc>
        <w:tc>
          <w:tcPr>
            <w:tcW w:w="9620" w:type="dxa"/>
            <w:vAlign w:val="bottom"/>
            <w:gridSpan w:val="2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20" w:type="dxa"/>
            <w:vAlign w:val="bottom"/>
            <w:tcBorders>
              <w:top w:val="single" w:sz="8" w:color="0000EE"/>
            </w:tcBorders>
            <w:gridSpan w:val="2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 Independence.</w:t>
              </w:r>
            </w:hyperlink>
          </w:p>
        </w:tc>
        <w:tc>
          <w:tcPr>
            <w:tcW w:w="2300" w:type="dxa"/>
            <w:vAlign w:val="bottom"/>
            <w:gridSpan w:val="2"/>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80" w:type="dxa"/>
            <w:vAlign w:val="bottom"/>
            <w:tcBorders>
              <w:top w:val="single" w:sz="8" w:color="0000EE"/>
            </w:tcBorders>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520"/>
        </w:trPr>
        <w:tc>
          <w:tcPr>
            <w:tcW w:w="130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gridSpan w:val="13"/>
          </w:tcPr>
          <w:p>
            <w:pPr>
              <w:jc w:val="center"/>
              <w:ind w:right="4920"/>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PART IV</w:t>
              </w:r>
            </w:hyperlink>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8"/>
                <w:szCs w:val="18"/>
                <w:color w:val="auto"/>
              </w:rPr>
              <w:t>Item 15.</w:t>
            </w:r>
          </w:p>
        </w:tc>
        <w:tc>
          <w:tcPr>
            <w:tcW w:w="29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Exhibits, Financial Statement Schedules.</w:t>
              </w:r>
            </w:hyperlink>
          </w:p>
        </w:tc>
        <w:tc>
          <w:tcPr>
            <w:tcW w:w="1100" w:type="dxa"/>
            <w:vAlign w:val="bottom"/>
            <w:gridSpan w:val="2"/>
          </w:tcPr>
          <w:p>
            <w:pPr>
              <w:spacing w:after="0"/>
              <w:rPr>
                <w:sz w:val="21"/>
                <w:szCs w:val="21"/>
                <w:color w:val="auto"/>
              </w:rPr>
            </w:pPr>
          </w:p>
        </w:tc>
        <w:tc>
          <w:tcPr>
            <w:tcW w:w="660" w:type="dxa"/>
            <w:vAlign w:val="bottom"/>
            <w:tcBorders>
              <w:top w:val="single" w:sz="8" w:color="0000EE"/>
            </w:tcBorders>
            <w:gridSpan w:val="7"/>
          </w:tcPr>
          <w:p>
            <w:pPr>
              <w:spacing w:after="0"/>
              <w:rPr>
                <w:sz w:val="21"/>
                <w:szCs w:val="21"/>
                <w:color w:val="auto"/>
              </w:rPr>
            </w:pPr>
          </w:p>
        </w:tc>
        <w:tc>
          <w:tcPr>
            <w:tcW w:w="4920" w:type="dxa"/>
            <w:vAlign w:val="bottom"/>
            <w:gridSpan w:val="6"/>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337" w:lineRule="exact"/>
        <w:rPr>
          <w:sz w:val="20"/>
          <w:szCs w:val="20"/>
          <w:color w:val="auto"/>
        </w:rPr>
      </w:pPr>
    </w:p>
    <w:p>
      <w:pPr>
        <w:jc w:val="center"/>
        <w:ind w:right="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EXHIBIT INDEX</w:t>
        </w:r>
      </w:hyperlink>
    </w:p>
    <w:p>
      <w:pPr>
        <w:spacing w:after="0" w:line="333" w:lineRule="exact"/>
        <w:rPr>
          <w:sz w:val="20"/>
          <w:szCs w:val="20"/>
          <w:color w:val="auto"/>
        </w:rPr>
      </w:pPr>
    </w:p>
    <w:p>
      <w:pPr>
        <w:jc w:val="center"/>
        <w:ind w:right="2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herein,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under the sections entitled “Risk Factors” and “Management’s Discussion and Analysis of Financial Condition and Results of Operations” and elsewhere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Annual Report on Form 10-K, whether as a result of any new information, future events, changed circumstances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Channels to Disseminate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announces material information to the public about the Company, its products and services and other matters through a variety of means,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 filings with the U.S. Securities and Exchange Commission, or SEC, press releases, public conference calls, the Company’s website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https://neurostar.com/neuronetics/</w:t>
      </w:r>
      <w:r>
        <w:rPr>
          <w:rFonts w:ascii="Arial" w:cs="Arial" w:eastAsia="Arial" w:hAnsi="Arial"/>
          <w:sz w:val="18"/>
          <w:szCs w:val="18"/>
          <w:color w:val="auto"/>
        </w:rPr>
        <w:t>), including the Investors section thereof, and/or social media, including its Facebook page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https://www.facebook.com/NeuroStarAdvancedTMS/</w:t>
      </w:r>
      <w:r>
        <w:rPr>
          <w:rFonts w:ascii="Arial" w:cs="Arial" w:eastAsia="Arial" w:hAnsi="Arial"/>
          <w:sz w:val="17"/>
          <w:szCs w:val="17"/>
          <w:color w:val="auto"/>
        </w:rPr>
        <w:t>), Twitter account (@TMSTherapy), Instagram account (@NeurostarAdvancedTMS), YouTube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 (</w:t>
      </w:r>
      <w:r>
        <w:rPr>
          <w:rFonts w:ascii="Arial" w:cs="Arial" w:eastAsia="Arial" w:hAnsi="Arial"/>
          <w:sz w:val="16"/>
          <w:szCs w:val="16"/>
          <w:u w:val="single" w:color="auto"/>
          <w:color w:val="auto"/>
        </w:rPr>
        <w:t>https://www.youtube.com/user/NeuroStarTMSTherapy</w:t>
      </w:r>
      <w:r>
        <w:rPr>
          <w:rFonts w:ascii="Arial" w:cs="Arial" w:eastAsia="Arial" w:hAnsi="Arial"/>
          <w:sz w:val="16"/>
          <w:szCs w:val="16"/>
          <w:color w:val="auto"/>
        </w:rPr>
        <w:t>) and/or LinkedIn account (</w:t>
      </w:r>
      <w:r>
        <w:rPr>
          <w:rFonts w:ascii="Arial" w:cs="Arial" w:eastAsia="Arial" w:hAnsi="Arial"/>
          <w:sz w:val="16"/>
          <w:szCs w:val="16"/>
          <w:u w:val="single" w:color="auto"/>
          <w:color w:val="auto"/>
        </w:rPr>
        <w:t>https://www.linkedin.com/company/neuronetics-inc./</w:t>
      </w:r>
      <w:r>
        <w:rPr>
          <w:rFonts w:ascii="Arial" w:cs="Arial" w:eastAsia="Arial" w:hAnsi="Arial"/>
          <w:sz w:val="16"/>
          <w:szCs w:val="16"/>
          <w:color w:val="auto"/>
        </w:rPr>
        <w:t>), in order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 broad, non-exclusionary distribution of information to the public. The Company encourages investors and others to review the information it makes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in these locations, as such information could be deemed to be material information. Please note that this list may be updated from time to time.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internet website, Facebook page, Instagram account, YouTube account and LinkedIn account, and the information contained therein or connected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be and is not intended to be incorporated by reference into this Annual Report on Form 10-K or our other filings with the SEC unless otherwise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expressly provided.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at least one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1,085 active NeuroStar Advanced Therapy Systems in approximately 870 psychiatrist offices as of December 31, 2019 and the estimated 81,600 patients treated with approximately 2.9 million treatment sessions through such date. We generated revenues of $62.7 million for the year ended December 31, 2019.</w:t>
      </w:r>
    </w:p>
    <w:p>
      <w:pPr>
        <w:spacing w:after="0" w:line="16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MDD is a mood disorder characterized by the presence of one or both of two major diagnostic criteria: a depressed mood or loss of interest in pleasure that continues for at least two weeks. The presence of at least one of these diagnostic symptoms must be accompanied by several of the following additional symptoms: sleep disturbance, changes in appetite, sexual dysfunction, anxiety, fatigue, difficulty concentrating and suicidal thinking. MDD is a recurrent disease and follows a fluctuating course over an individual’s lifetime, that can be characterized by periods of remission and relapse.</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World Health Organization, or WHO, ranks MDD as the single largest contributor to global disability and a major contributor to suicide worldwide. According to a study published in the </w:t>
      </w:r>
      <w:r>
        <w:rPr>
          <w:rFonts w:ascii="Arial" w:cs="Arial" w:eastAsia="Arial" w:hAnsi="Arial"/>
          <w:sz w:val="16"/>
          <w:szCs w:val="16"/>
          <w:i w:val="1"/>
          <w:iCs w:val="1"/>
          <w:color w:val="auto"/>
        </w:rPr>
        <w:t>Journal of Clinical Psychiatry</w:t>
      </w:r>
      <w:r>
        <w:rPr>
          <w:rFonts w:ascii="Arial" w:cs="Arial" w:eastAsia="Arial" w:hAnsi="Arial"/>
          <w:sz w:val="16"/>
          <w:szCs w:val="16"/>
          <w:color w:val="auto"/>
        </w:rPr>
        <w:t xml:space="preserve">, the economic burden of MDD was estimated to be $210 billion in 2010 in the United States, including outpatient and inpatient medical costs, pharmacy costs, suicide related costs and workplace costs. A study published in </w:t>
      </w:r>
      <w:r>
        <w:rPr>
          <w:rFonts w:ascii="Arial" w:cs="Arial" w:eastAsia="Arial" w:hAnsi="Arial"/>
          <w:sz w:val="16"/>
          <w:szCs w:val="16"/>
          <w:i w:val="1"/>
          <w:iCs w:val="1"/>
          <w:color w:val="auto"/>
        </w:rPr>
        <w:t>Psychological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reported a global incidence rate of MDD is 3.0% and the WHO estimates that there are over 300 million people in the world living with depression.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Based on U.S. Census Bureau data and a study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we estimate that approximately 21 million people in the United States suffer from MDD annually. Of these people, we estimate approximately 13.3 million are adults aged 22 to 70 years, of whom an estimated 7.6 million, based on data from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are being treated by a psychiatrist. We estimate, based on data from the Sequenced Treatment Alternatives to Relieve Depression, or the STAR*D study, that approximately 5.5 million of these patients have failed to achieve remission of their MDD from their prior antidepressant medication therapy and that approximately 3.8 million of those patients have commercial insurance or Medicare coverage for NeuroStar Advanced Therapy. As a result, based on our expected revenues for a standard course of treatment, we believe our total annual addressable market opportunity for treatment sessions in the United States is approximately $9.6 billion.</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Initial treatment options for MDD often consist of antidepressant medication prescribed by a primary care physician. Although a variety of antidepressant medications are available, drug therapy has at least two primary limitations: limited effectiveness and treatment-emergent side effects. These limitations were demonstrated in the STAR*D study, a large clinical trial funded by the U.S. National Institute of Mental Health, or NIMH, that enrolled more than 4,000 adult MDD patients at 41 clinical sites to examine the outcomes to a sequenced series of antidepressant medication attempts that mimicked best practices. In the study, only approximately 28% and 21% of patients achieved remission in their first and second medication attempts, respectively. Many patients taking antidepressant medications experience intolerable or troubling side effects that contribute to a delay or failure in attaining an effective or optimal antidepressant dose, poor patient treatment adherence or discontinuation of treatment therapy. The likelihood of achieving remission is limited and declines with each successive medication attempt.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right="120"/>
        <w:spacing w:after="0" w:line="255" w:lineRule="auto"/>
        <w:rPr>
          <w:sz w:val="20"/>
          <w:szCs w:val="20"/>
          <w:color w:val="auto"/>
        </w:rPr>
      </w:pPr>
      <w:r>
        <w:rPr>
          <w:rFonts w:ascii="Arial" w:cs="Arial" w:eastAsia="Arial" w:hAnsi="Arial"/>
          <w:sz w:val="18"/>
          <w:szCs w:val="18"/>
          <w:color w:val="auto"/>
        </w:rPr>
        <w:t>TMS is considered to be an appropriate therapy for the treatment of MDD patients who have failed to achieve satisfactory improvement from at least one prior antidepressant medication. TMS is typically performed as an office-based procedure using a capital equipment system designed to deliver the magnetic pulses necessary to stimulate the specific areas of the brain associated with mood. A course of treatment typically requires treatment sessions five times a week for up to six weeks that can last from as low as three to as long as 45 minutes per session. We believe the effectiveness of TMS depends on the psychiatrist’s ability to deliver a precise amount of magnetic pulses to a specific area of the brain in a manner that can be consistently repeated during each treatment session.</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designed the NeuroStar Advanced Therapy as a non-invasive therapeutic alternative to treat patients who suffer from MDD and to address many of the key limitations of existing treatment options. We believe our NeuroStar Advanced Therapy provides our psychiatrist customers and their patients with several benefits, including clinically demonstrated response and remission with durable results, a demonstrated safety profile with limited treatment-emergent side effects and high patient adherence. Additionally, NeuroStar Advanced Therapy was designed to provide a precise and reproducible office-based therapy that is also efficient and convenient. Our therapy is delivered without general anesthesia or sedation, enabling the patient to drive and resume normal activities immediately following each treatment session. We couple our product’s clinical benefits with significant practice development resources, on-site clinical training and reimbursement and service support to help our psychiatrist customers develop a successful NeuroStar Advanced Therapy practice. We also provide cloud-based practice management solutions that enhance convenience for both psychiatrists and patients. Based on our commercial data, we believe psychiatrists can recoup their initial capital investment in our system by providing a standard course of treatment to approximately 12 patients, assuming these patients receive reimbursement from Medicare or commercial insurance at rates that are similar to what our customers have observed for existing and prior patients. We believe psychiatrists can generate approximately $7,500 to $10,000 of revenue per patient for a standard course of treatment, which may provide meaningful incremental income to their practices. We believe that the NeuroStar Advanced Therapy coupled with these advantages offer significant improvement over competing TMS, which lack the ability to reproduce consistent treatments, significant clinical data from randomized outcome trials, practice development resources, and a cloud-based practice management system.</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safety, effectiveness and durability of NeuroStar Advanced Therapy is supported by a large clinical data set published in 23 articles in peer-reviewed medical journals, including from 11 clinical studies that have collectively enrolled more than 900 adult patients suffering from MDD. In a 307 patient, naturalistic, prospective, observational trial conducted at 42 U.S. clinical sites in patients who had tried and failed to receive relief from one or more medication trials in their current MDD episode, following an acute course of NeuroStar Advanced Therapy, 58% of patients responded, which means they achieved a clinically meaningful reduction in symptoms, and 37% achieved remission. Response and remission were maintained over a 12-month period for a majority of these patients. In the STAR*D study approximately 28% and 21% of patients achieved remission in their first and second medication trials, respectively.</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growth strategy includes expanding our commercialization efforts in the United States, expanding international opportunities and pursuing pipeline development of our therapy for additional indications. Outside the United States, our products have received marketing authorizations in the European Union and Japan. Our initial international commercial focus is Japan, which has the third largest healthcare spend globally. We have entered into an exclusive distribution agreement with Teijin Pharma Limited, or Teijin, a leading Japanese healthcare company, to further expand our commercialization efforts in this market. We are also evaluating the use of enhancements to our NeuroStar Advanced Therapy System to treat additional indications, which may include bipolar depression and post-traumatic stress disorder.</w:t>
      </w:r>
    </w:p>
    <w:p>
      <w:pPr>
        <w:spacing w:after="0" w:line="19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 of December 31, 2019, we had an installed base of 1,085 active NeuroStar Advanced Therapy Systems in the United States. We currently sell our NeuroStar Advanced Therapy System and recurring treatment sessions in the United States with the collaborative support of our 235 employees as of December 31, 2019. Our sales force primarily targets 20,600 psychiatrists at 5,700 high-decile psychiatric practices that we estimate, based on data from Symphony Health and our own internal estimates, treat approximately 42% of the total MDD patients in the United States who meet our labeled indication and are insured. Patients are reimbursed by Medicare and the vast majority of commercial payors in the United States for treatment sessions utilizing our NeuroStar Advanced Therapy System.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20"/>
        <w:spacing w:after="0" w:line="273" w:lineRule="auto"/>
        <w:rPr>
          <w:sz w:val="20"/>
          <w:szCs w:val="20"/>
          <w:color w:val="auto"/>
        </w:rPr>
      </w:pPr>
      <w:r>
        <w:rPr>
          <w:rFonts w:ascii="Arial" w:cs="Arial" w:eastAsia="Arial" w:hAnsi="Arial"/>
          <w:sz w:val="17"/>
          <w:szCs w:val="17"/>
          <w:color w:val="auto"/>
        </w:rPr>
        <w:t>We generate revenues from initial capital sales of our systems, sales of our recurring treatment sessions and from service and repair and extended warranty contracts. We derive the majority of our revenues from recurring treatment sessions. For the year ended December 31, 2019, we generated revenues of $62.7 million and had a net loss of $29.0 million. Our revenues increased 19% during the year ended December 31, 2019 compared to the year ended December 31, 2018. For the year ended December 31, 2019, our U.S. revenues were $60.8 million, compared to $52.8 million for the year ended December 31, 2018, which represented an increase of 18% compared to the prior period. Revenues from treatment sessions represented 68% of our U.S. revenues for the year ended December 31, 2019 compared to 69% of our U.S. revenues for the prior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maintain and extend our leadership position in TMS therapy for patients with psychiatric disorders. The key elements of our strategy include:</w:t>
      </w:r>
    </w:p>
    <w:p>
      <w:pPr>
        <w:spacing w:after="0" w:line="140" w:lineRule="exact"/>
        <w:rPr>
          <w:sz w:val="20"/>
          <w:szCs w:val="20"/>
          <w:color w:val="auto"/>
        </w:rPr>
      </w:pPr>
    </w:p>
    <w:p>
      <w:pPr>
        <w:ind w:left="1200" w:right="20" w:hanging="449"/>
        <w:spacing w:after="0" w:line="287"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customer targeting and expand our direct sales and customer support team to accelerate growth. </w:t>
      </w:r>
      <w:r>
        <w:rPr>
          <w:rFonts w:ascii="Arial" w:cs="Arial" w:eastAsia="Arial" w:hAnsi="Arial"/>
          <w:sz w:val="16"/>
          <w:szCs w:val="16"/>
          <w:color w:val="auto"/>
        </w:rPr>
        <w:t>To capture new psychiatrist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plan to expand our specialized, direct sales organization that targets MDD treating psychiatric practices that accept reimbursement from private insurance and Medicare. Symphony Health estimates that there are approximately 26,300 group and solo practice sites in the United States with psychiatrists that prescribe antidepressant medications. Our direct sales force primarily targets 20,600 psychiatrists at 5,700 high-decile psychiatric practices that we estimate, based on data from Symphony Health and our own internal estimates, treat approximately 2.5 million patients, representing 42% of the total MDD patients in the United States who meet our labeled indication and are insured. We estimate that approximately 1.2 million of these patients have failed prior antidepressant medication attempts in the current MDD episode and are covered by insurance that will provide reimbursement based on this medical status, resulting in a targeted total addressable market of approximately $3.0 billion. We intend to continue to expand our team of business development managers that are responsible for driving new customer acquisitions. To reach our target practices, we also plan to expand our advertising efforts, both online and through more traditional approaches, such as targeting leading psychiatric journals, practice outreach and education through monthly webcasts, attendance at key psychiatric trade shows and sponsoring clinical symposiums and product theaters.</w:t>
      </w:r>
    </w:p>
    <w:p>
      <w:pPr>
        <w:spacing w:after="0" w:line="60" w:lineRule="exact"/>
        <w:rPr>
          <w:rFonts w:ascii="Arial" w:cs="Arial" w:eastAsia="Arial" w:hAnsi="Arial"/>
          <w:sz w:val="16"/>
          <w:szCs w:val="16"/>
          <w:color w:val="auto"/>
        </w:rPr>
      </w:pPr>
    </w:p>
    <w:p>
      <w:pPr>
        <w:ind w:left="1200" w:right="40" w:hanging="449"/>
        <w:spacing w:after="0" w:line="287"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utilization of our new and existing installed base of NeuroStar Advanced Therapy Systems. </w:t>
      </w:r>
      <w:r>
        <w:rPr>
          <w:rFonts w:ascii="Arial" w:cs="Arial" w:eastAsia="Arial" w:hAnsi="Arial"/>
          <w:sz w:val="16"/>
          <w:szCs w:val="16"/>
          <w:color w:val="auto"/>
        </w:rPr>
        <w:t>We plan to expand our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support team to increase the number of patients treated by our existing installed base of 1,085 active NeuroStar Advanced Therapy Systems in the United States and any additional systems that we sell in the future. We intend to hire additional clinical training consultants to our existing team of eight who will focus on the ongoing training of our psychiatrist customers and their staff in order to allow our existing team of 33 NeuroStar practice consultants to focus exclusively on helping increase patient utilization of NeuroStar Advanced Therapy in a practice. Our NeuroStar practice consultants focus their efforts on helping psychiatrist customers implement our six step Practice Success Program. We intend to make further investments in marketing tools, such as our marketing portal, which consists of customizable practice development and advertisement materials all of which are designed to drive patient awareness within an existing practice and in the local community. We recently concluded a three-week national television advertising campaign designed to increase patient awareness of NeuroStar Advanced Therapy. We also plan to invest further in our direct to consumer marketing programs, primarily through digital marketing, which is comprised of paid search, display advertising, social media and public relations to our psychiatrist customers.</w:t>
      </w:r>
    </w:p>
    <w:p>
      <w:pPr>
        <w:spacing w:after="0" w:line="64" w:lineRule="exact"/>
        <w:rPr>
          <w:rFonts w:ascii="Arial" w:cs="Arial" w:eastAsia="Arial" w:hAnsi="Arial"/>
          <w:sz w:val="16"/>
          <w:szCs w:val="16"/>
          <w:color w:val="auto"/>
        </w:rPr>
      </w:pPr>
    </w:p>
    <w:p>
      <w:pPr>
        <w:ind w:left="1200" w:hanging="449"/>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market opportunities. </w:t>
      </w:r>
      <w:r>
        <w:rPr>
          <w:rFonts w:ascii="Arial" w:cs="Arial" w:eastAsia="Arial" w:hAnsi="Arial"/>
          <w:sz w:val="18"/>
          <w:szCs w:val="18"/>
          <w:color w:val="auto"/>
        </w:rPr>
        <w:t>We primarily sell our products within the United States and also sell our products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in countries where we have received regulatory approval, including Japan, Saudi Arabia, The United Arab Emirates, Singapore, and the Republic of Korea. We primarily focus our commercial efforts outside of the United States on Japan. We worked with Teijin to obtain reimbursement approval for the NeuroStar Advanced Therapy System in June 2019 and will continue to provide sales, marketing and clinical support to ensure our commercial success. We will continue to opportunistically evaluate additional markets outside the United States and Japan for commercial expansion.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 w:name="page7"/>
    <w:bookmarkEnd w:id="6"/>
    <w:p>
      <w:pPr>
        <w:ind w:left="1200" w:right="220" w:hanging="449"/>
        <w:spacing w:after="0" w:line="25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enhancements of our NeuroStar Advanced Therapy System and pipeline development for additional indications. </w:t>
      </w:r>
      <w:r>
        <w:rPr>
          <w:rFonts w:ascii="Arial" w:cs="Arial" w:eastAsia="Arial" w:hAnsi="Arial"/>
          <w:sz w:val="18"/>
          <w:szCs w:val="18"/>
          <w:color w:val="auto"/>
        </w:rPr>
        <w:t>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our research and development efforts to enhance the hardware and software components of our NeuroStar Advanced Therapy System for the treatment of MDD and other psychiatric disorders. We also plan to evaluate the use of enhancements to our NeuroStar Advanced Therapy System to treat other psychiatric disorders, which may include bipolar depression and post-traumatic stress disorder, or PTSD.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invest in research and development for the use of the NeuroStar Advanced Therapy System in psychiatric disorders. Throughout our history, we have provided material support to 50 investigator-initiated trials of such prospective additional indications. We are currently considering a number of potential indications for the use of the NeuroStar Advanced Therapy System, including, but not limited to, those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Bipolar Depression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Bipolar depression is a psychiatric disorder characterized by a recurrent episodes of mania and depression. The depressed phase of bipolar disorder is considered to be a form of treatment resistant depression and is the most difficult to treat phase of bipolar disorder. The depressive episode diagnostic criteria in bipolar depression are identical to our current MDD indication. Although bipolar depression represents a smaller market than MDD, this disease state has few treatment options available and many patients experience suboptimal outcomes. Current treatment options for patients with bipolar depression include the use of mood stabilizers, including lithium carbonate, anticonvulsant, and second-generation antipsychotics. While these treatments are effective in managing the recurrent mania, there are few effective treatments for the depressed phase of the illness. For example, antidepressant medications may lead to instability in resolution of the manic episodes if administered alone, and the use of second-generation antipsychotic medications can be associated with undesirable long-term medical side effects, including weight gain or the development of metabolic syndrome. Based on early research, we are evaluating whether treatment with our NeuroStar Advanced Therapy System could be beneficial to these patients. If we were to pursue an additional indication in bipolar depression, we would need to conduct additional clinical trials, file an investigational device exemption and clinical trial protocols with the FDA, submit a 510(k) pre-market notification and receive clearance prior to commercialization.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Post-Traumatic Stress Disorder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Post-traumatic stress disorder, or PTSD, is a psychiatric disorder that develops in some people who have experienced an overwhelming traumatic event, such as witnessing death in a military or civilian setting, or as a result of severe physical abuse such as assault or rape. This exposure to a traumatic stressor can lead to a later unwanted re-experiencing of symptoms, avoidance behavior, alteration in cognition and mood and states of increased physiological arousal. Treatment options for PTSD include psychotherapy and SSRI antidepressant medications. We believe NeuroStar Advanced Therapy may represent a potential new treatment option for PTSD patients. If we were to pursue an additional indication in PTSD, we would need to conduct additional clinical trials, file an investigational device exemption and clinical trial protocols with the FDA, submit a 510(k) pre-market notification and receive clearance prior to commercialization.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Adolescent MDD</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completed patient enrollment with 112 adolescent MDD patients in a prospective, 13-center, randomized, sham-controlled, double-blind pivotal clinical trial with three phases that mirrors the design of our original adult, randomized, controlled trial. The purpose of this study is to evaluate the acute and long-term safety and efficacy of NeuroStar Advanced Therapy in treating adolescents with MDD. The trial utilizes a double-blind control design to minimize variability and allow for blinded assessment of the safety and efficacy of NeuroStar Advanced Therapy, using an active NeuroStar Treatment Coil compared to a system utilizing a sham NeuroStar Treatment Coil. Patients were randomly allocated in a one-to-one ratio to either active NeuroStar Treatment Coil or sham NeuroStar Treatment Coil. At the time of enrollment, patients were antidepressant-free for at least one week and up to four weeks, depending on medication washout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right="20"/>
        <w:spacing w:after="0" w:line="270" w:lineRule="auto"/>
        <w:rPr>
          <w:sz w:val="20"/>
          <w:szCs w:val="20"/>
          <w:color w:val="auto"/>
        </w:rPr>
      </w:pPr>
      <w:r>
        <w:rPr>
          <w:rFonts w:ascii="Arial" w:cs="Arial" w:eastAsia="Arial" w:hAnsi="Arial"/>
          <w:sz w:val="17"/>
          <w:szCs w:val="17"/>
          <w:color w:val="auto"/>
        </w:rPr>
        <w:t>The first phase is designed to evaluate the antidepressant effects of active NeuroStar Advanced Therapy compared with sham treatment when administered five times per week for a six-week acute course of therapy. The primary endpoint of this phase is the difference between active and sham arms using the 24-Item Hamilton Depression Rating Scale, or HAMD24, total score change from baseline score over the six-week acute phase. Safety will be assessed at every treatment visit by recording adverse events. We are currently completing the analysis of all phases of the study, including the randomized controlled trial, open label extension and six-month follow-up study. Based on a preliminary analysis conducted in the second quarter of 2018, the primary endpoint in the first phase of the trial was not met. Although we cannot directly attribute clinical trial outcomes from other studies to our own clinical trials, we believe several clinical trials for antidepressant medications failed to meet the primary efficacy endpoint in their studies for MDD in adolescents and children. These include duloxetine, venlafaxine and, most recently, desvenlafaxine. To date, the data safety monitoring board has not identified any serious safety issues in the study population, including suicidality and seizure.</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Consistent with our clinical trial protocols, patients who have completed the first phase were eligible to participate in the second phase of our clinical trial, which is a separate, open-label extension study. The second phase trial is designed to evaluate the benefit of active treatment administered five times per week for a six-week acute course of NeuroStar Advanced Therapy in patients who received active or sham treatment and did not receive protocol-defined clinical benefit in the first phase. Patients remain antidepressant medication free during the second phase. This trial will provide descriptive data on patients who are switched from sham to active treatments or receive a longer course of active treatment up to 12 weeks.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Patients who met the criteria for at least partial response in either the first or second phases of the trial were eligible to be followed in a third phase that will be a separate six-month follow up phase. Patients entering the third phase first undergo a three-week transition during which they will be gradually tapered off NeuroStar Advanced Therapy. Patients who experience symptom worsening during this phase of the study may receive reintroduction of NeuroStar Advanced Therapy. Patients remain antidepressant medication free during the third phase of the trial. The purpose of this phase is to provide descriptive data on the six-month follow-up period and any retreatments received by patients.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believe we are unlikely to seek a label expansion for the NeuroStar Advanced Therapy System for the treatment of adolescent MDD, we plan to evaluate next steps with respect to our clinical development efforts for this indication following the completion of the data analysis. We do not expect that the results from the clinical trial will be sufficient to obtain approval of our system for this indication. Nevertheless, we do not believe these clinical trial results or the failure to obtain approval of our NeuroStar Advanced Therapy System for the treatment of adolescents with MDD will have a material impact on our current or future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 Team and Psychiatrist Training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2019, our sales and customer support team consisted of 173 employees working collaboratively across the following departments: sales, marketing, field service and customer support, and reimbursement.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Marketing—United States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commercialization team selectively markets and sells the NeuroStar Advanced Therapy System and recurring treatment sessions in the United States. Our primary focus is on selling to psychiatrists, with primary care physicians and pain management specialists representing a small percentage of our customer base. We target approximately 5,700 high-decile psychiatric practices, who we estimate, based on data from Symphony Health and our own internal estimates, treat approximately 42% of MDD patients who meet our labeled indication and are insured. We target these practices by the number of psychiatrists within their practices, the number of patients they treat and their acceptance of commercial insurance and Medicare. We believe that our psychiatrist targeting strategy makes for a well-defined customer base that is accessible by our direct sales organization.</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structured our sales and customer support team with specialized roles to sell our NeuroStar Advanced Therapy Systems and recurring treatment sessions, while delivering customer service at each stage of the implementation process. Our business development managers are responsible for identifying key customer prospects, educating them on the value of NeuroStar Advanced Therapy System, gaining their commitment for capital placement and introducing our NeuroStar practice consultants. Our NeuroStar practice consultants enhance the operational experience for providers and drive implementation of the NeuroStar Advanced Therapy System into our customers’ practices. We created the role of clinical training consultant to partner with our psychiatrist providers to conduct initial and ongoing on-site clinical training to ensure clinical and practice success.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Practice Management Support and Psychiatrist Training—United States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NeuroStar practice consultants play a pivotal role in ensuring the success of our customers as they implement a new service line into their practice. In the early stages of implementation, they help the practice set goals, educate on the types of patients that can benefit from our therapy and assist in preparing the office workflow and staffing needs. As the office prepares to begin scheduling consults, the NeuroStar practice consultants will train the office staff on how to talk with patients about TMS and how to use patient educational tools such as presentations, videos and starter kits. Once the practice begins treating patients, they will educate the psychiatrist on how to track clinical outcomes, interpret data and how to effectively convey results to existing and potential patients and referring physicians. Our NeuroStar practice consultants also work with our customers to increase awareness with referring physicians and develop external marketing tactics. Our dedicated reimbursement managers help each practice navigate all issues regarding the reimbursement process including investigation of benefits, prior authorizations and claims documentation. This group has assisted our customers to conduct over 31,000 benefit investigations.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Psychiatrists and staff training on the NeuroStar Advanced Therapy System is a key to success within each practice. Our clinical training consultants take the burden of clinical training off our NeuroStar practice consultants and provide a dedicated training resource to each customer. Clinical training consultants conduct at least a three-day, hands on training course that is scheduled after system installation at each practice and also provide ongoing advanced on-site clinical training.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Field Support—United States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field service engineers are responsible for maintenance, repairs and installation of upgrades. We provide a 24/7 support hotline to respond to medical information inquiries and technical questions that arise in all time zones. We pledge to have a field service engineer on-site within 24 hours of a service call. Because of the size and geographical coverage of our field service engineers and our standard 24-hour response time, NeuroStar Advanced Therapy Systems experience over 99% uptime, helping to ensure uninterrupted patient treatments.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 Japan, we have an exclusive distribution agreement with Teijin, for the commercialization of our products. The current term of this distribution agreement expires March 31, 2025, subject to automatic renewal unless terminated by either party.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competitors that sell other forms of TMS therapy, including Brainsway, Magstim, MagVenture, CloudTMS and Nexstim, that compete directly with the NeuroStar Advanced Therapy System. We also face competition from pharmaceutical and other companies that develop products, such as antidepressant medications, for the treatment of psychiatric disorders.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a more comprehensive discussion of the risks related to our intellectual property, please see “Risk Factors – Risks Related to Our Business and Industry.”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patent estate includes patents and applications with claims directed to our NeuroStar Advanced Therapy Systems and broader claims for potential future products and developments. On a worldwide basis, as of December 31, 2019, our patent estate included over 100 issued or allowed patents and pending patent applications for our products and novel design methods, manufacturing process, novel TMS devices and systems and future combination products that are mainly designed to treat psychiatric conditions or perform diagnostic procedures. In the United States, as of December 31, 2019, we owned or licensed 37 issued or allowed patents and eight patent applications filed that are directed to our TMS technology. Outside the United States, as of December 31, 2019, we owned or licensed 51 issued or allowed patents, 10 pending patent applications and one pending Patent Cooperation Treaty application.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These U.S. issued patents are expected to remain in effect until between 2019 and 2035. Our core patents in the United States will not expire before 2024. Our non-U.S. patents are expected to remain in effect until between 2024 and 2035. Our worldwide intellectual property portfolio includes multiple pending patent applications relating to methods and apparatuses for the treatment of psychiatric health conditions in Australia, Canada, the European Union, Japan and the United States. Our patents and patent applications mainly relate to iron core technology, including materials, manufacturing methods, geometries, applications, and open core technologies, TMS design patents, including coil position, motor threshold level determination, contact sensing, and articulation arm designs, patient comfort, TMS support technologies and pulse monitoring, and potential next generation technologies.</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own trade secrets relating to our technology, and we maintain the confidentiality of proprietary information to protect aspects of our business that are not amenable to, or that we do not consider appropriate for, patent protection. We seek to protect our trade secrets and know-how by entering into confidentiality agreements with third-parties, consultants and employees who have access to such trade secrets and know-how.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comprehensive discussion of the risks related to our intellectual property, please see “Risk Factors—Risks Related to Intellectual Property.”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manage all aspects of product supply through our operations team based in Malvern, Pennsylvania. We outsource the manufacture of components and high-level assemblies, which are produced and tested to our specifications. We rely on third party providers to provide components used in existing products and we expect to continue to do so for future products.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establish our relationships with our third-party manufacturers and suppliers through supplier contracts and purchase orders. In most cases, these supplier relationships may be terminated by either party upon short notice. As of December 31, 2019, we engaged with Sparton Medical Systems to supply our console; Gharieni Group GmbH to supply our chair; Molex Incorporated to supply our SenStar Treatment Link; Paragon Micro to supply our computer systems as well as other companies to supply components of our chairs and treatment packs.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not experienced material delays in obtaining any of our components, nor has the ready supply of finished products to our customers or clinicians been adversely affected by component supply issues.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Payor Relations and Customer Support</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Based on our estimates, over 65 major private insurers in the United States, including the top 25 largest private insurers, have coverage policies for reimbursement of NeuroStar Advanced Therapy, representing approximately 205 million covered lives or about 95% of the total payor covered lives in the United States. Treatments using NeuroStar Advanced Therapy are also eligible for reimbursement from Medicare, representing an additional 59 million covered lives in the United States as of January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products and our operations are subject to extensive regulation by the FDA and other federal and state authorities in the United States, as well as comparable authorities in foreign jurisdictions.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w:t>
      </w:r>
    </w:p>
    <w:p>
      <w:pPr>
        <w:spacing w:after="0" w:line="117"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Our products are subject to regulation as medical devices under the Federal Food, Drug, and Cosmetic Act, as amended, or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80"/>
        <w:spacing w:after="0" w:line="302" w:lineRule="auto"/>
        <w:rPr>
          <w:sz w:val="20"/>
          <w:szCs w:val="20"/>
          <w:color w:val="auto"/>
        </w:rPr>
      </w:pPr>
      <w:r>
        <w:rPr>
          <w:rFonts w:ascii="Arial" w:cs="Arial" w:eastAsia="Arial" w:hAnsi="Arial"/>
          <w:sz w:val="16"/>
          <w:szCs w:val="16"/>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quality systems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Our NeuroStar Advanced Therapy System is classified as a Class II medical device. We initially received marketing authorization of this device through the </w:t>
      </w:r>
      <w:r>
        <w:rPr>
          <w:rFonts w:ascii="Arial" w:cs="Arial" w:eastAsia="Arial" w:hAnsi="Arial"/>
          <w:sz w:val="17"/>
          <w:szCs w:val="17"/>
          <w:i w:val="1"/>
          <w:iCs w:val="1"/>
          <w:color w:val="auto"/>
        </w:rPr>
        <w:t xml:space="preserve">de novo </w:t>
      </w:r>
      <w:r>
        <w:rPr>
          <w:rFonts w:ascii="Arial" w:cs="Arial" w:eastAsia="Arial" w:hAnsi="Arial"/>
          <w:sz w:val="17"/>
          <w:szCs w:val="17"/>
          <w:color w:val="auto"/>
        </w:rPr>
        <w:t>classification process. Subsequently, we have cleared any changes made to our system through the 510(k) clearance process.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Marketing Clearance Pathway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procedure. This procedure allows a manufacturer whose novel device is automatically classified as Class III to request down-classification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We originally obtained marketing authorization for our system using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after receiving a not substantially equivalent determination following the submission of a 510(k) premarket notification. We have subsequently used the 510(k) clearance process to obtain authorization from the FDA for changes to our marketed system.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A clinical trial is typically required to support a PMA application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or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Changes to Marketed Devices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After a device receives 510(k) marketing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17" w:lineRule="exact"/>
        <w:rPr>
          <w:sz w:val="20"/>
          <w:szCs w:val="20"/>
          <w:color w:val="auto"/>
        </w:rPr>
      </w:pPr>
    </w:p>
    <w:p>
      <w:pPr>
        <w:ind w:left="1200" w:hanging="449"/>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17" w:lineRule="exact"/>
        <w:rPr>
          <w:rFonts w:ascii="Arial" w:cs="Arial" w:eastAsia="Arial" w:hAnsi="Arial"/>
          <w:sz w:val="18"/>
          <w:szCs w:val="18"/>
          <w:color w:val="auto"/>
        </w:rPr>
      </w:pPr>
    </w:p>
    <w:p>
      <w:pPr>
        <w:ind w:left="1200" w:right="920" w:hanging="449"/>
        <w:spacing w:after="0" w:line="308"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38" w:lineRule="exact"/>
        <w:rPr>
          <w:rFonts w:ascii="Arial" w:cs="Arial" w:eastAsia="Arial" w:hAnsi="Arial"/>
          <w:sz w:val="17"/>
          <w:szCs w:val="17"/>
          <w:color w:val="auto"/>
        </w:rPr>
      </w:pPr>
    </w:p>
    <w:p>
      <w:pPr>
        <w:jc w:val="both"/>
        <w:ind w:left="1200" w:right="100" w:hanging="449"/>
        <w:spacing w:after="0" w:line="31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38" w:lineRule="exact"/>
        <w:rPr>
          <w:rFonts w:ascii="Arial" w:cs="Arial" w:eastAsia="Arial" w:hAnsi="Arial"/>
          <w:sz w:val="16"/>
          <w:szCs w:val="16"/>
          <w:color w:val="auto"/>
        </w:rPr>
      </w:pPr>
    </w:p>
    <w:p>
      <w:pPr>
        <w:ind w:left="1200" w:right="520" w:hanging="449"/>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efficacy or that would constitute a major change in intended use of one of our cleared devices;</w:t>
      </w:r>
    </w:p>
    <w:p>
      <w:pPr>
        <w:spacing w:after="0" w:line="62" w:lineRule="exact"/>
        <w:rPr>
          <w:rFonts w:ascii="Arial" w:cs="Arial" w:eastAsia="Arial" w:hAnsi="Arial"/>
          <w:sz w:val="18"/>
          <w:szCs w:val="18"/>
          <w:color w:val="auto"/>
        </w:rPr>
      </w:pPr>
    </w:p>
    <w:p>
      <w:pPr>
        <w:ind w:left="1200" w:right="300" w:hanging="449"/>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73" w:lineRule="exact"/>
        <w:rPr>
          <w:rFonts w:ascii="Arial" w:cs="Arial" w:eastAsia="Arial" w:hAnsi="Arial"/>
          <w:sz w:val="18"/>
          <w:szCs w:val="18"/>
          <w:color w:val="auto"/>
        </w:rPr>
      </w:pPr>
    </w:p>
    <w:p>
      <w:pPr>
        <w:ind w:left="1200" w:right="80" w:hanging="449"/>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3" w:lineRule="exact"/>
        <w:rPr>
          <w:rFonts w:ascii="Arial" w:cs="Arial" w:eastAsia="Arial" w:hAnsi="Arial"/>
          <w:sz w:val="18"/>
          <w:szCs w:val="18"/>
          <w:color w:val="auto"/>
        </w:rPr>
      </w:pPr>
    </w:p>
    <w:p>
      <w:pPr>
        <w:ind w:left="1200" w:right="240" w:hanging="449"/>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62" w:lineRule="exact"/>
        <w:rPr>
          <w:rFonts w:ascii="Arial" w:cs="Arial" w:eastAsia="Arial" w:hAnsi="Arial"/>
          <w:sz w:val="18"/>
          <w:szCs w:val="18"/>
          <w:color w:val="auto"/>
        </w:rPr>
      </w:pPr>
    </w:p>
    <w:p>
      <w:pPr>
        <w:ind w:left="1200" w:right="440" w:hanging="449"/>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62" w:lineRule="exact"/>
        <w:rPr>
          <w:rFonts w:ascii="Arial" w:cs="Arial" w:eastAsia="Arial" w:hAnsi="Arial"/>
          <w:sz w:val="18"/>
          <w:szCs w:val="18"/>
          <w:color w:val="auto"/>
        </w:rPr>
      </w:pPr>
    </w:p>
    <w:p>
      <w:pPr>
        <w:ind w:left="1200" w:right="200" w:hanging="449"/>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62" w:lineRule="exact"/>
        <w:rPr>
          <w:sz w:val="20"/>
          <w:szCs w:val="20"/>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payors, federal and state healthcare laws and regulations are applicable to its business. In addition, a portion of our business is subject to the Health Insurance Portability and Accountability Act of 1996, or HIPAA, as a business associate of our covered entity customers. To provide our covered entity customers with services that involve the use or disclosure of PHI, we are required to enter into business associate agreements. As a business associate, we are also directly liable for compliance with HIPAA. The laws that may affect a medical device manufacturer’s ability to operate include, but are not limited to:</w:t>
      </w:r>
    </w:p>
    <w:p>
      <w:pPr>
        <w:spacing w:after="0" w:line="58" w:lineRule="exact"/>
        <w:rPr>
          <w:sz w:val="20"/>
          <w:szCs w:val="20"/>
          <w:color w:val="auto"/>
        </w:rPr>
      </w:pPr>
    </w:p>
    <w:p>
      <w:pPr>
        <w:ind w:left="1200" w:right="20" w:hanging="449"/>
        <w:spacing w:after="0" w:line="255"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intent standard under the federal Anti-Kickback Statute was amended by the Patient Protection and Affordable Care Act, or the PPACA, to a stricter standard such that a person or entity no longer needs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200" w:hanging="449"/>
        <w:spacing w:after="0" w:line="269"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such as the False Claims Act, or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companies have been prosecuted under the FCA in connection with alleged off-label promotion of devices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left="1200" w:right="40" w:hanging="449"/>
        <w:spacing w:after="0" w:line="273"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70" w:lineRule="exact"/>
        <w:rPr>
          <w:rFonts w:ascii="Arial" w:cs="Arial" w:eastAsia="Arial" w:hAnsi="Arial"/>
          <w:sz w:val="17"/>
          <w:szCs w:val="17"/>
          <w:color w:val="auto"/>
        </w:rPr>
      </w:pPr>
    </w:p>
    <w:p>
      <w:pPr>
        <w:ind w:left="1200" w:right="180" w:hanging="449"/>
        <w:spacing w:after="0" w:line="255"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w:t>
      </w:r>
    </w:p>
    <w:p>
      <w:pPr>
        <w:spacing w:after="0" w:line="81" w:lineRule="exact"/>
        <w:rPr>
          <w:rFonts w:ascii="Arial" w:cs="Arial" w:eastAsia="Arial" w:hAnsi="Arial"/>
          <w:sz w:val="18"/>
          <w:szCs w:val="18"/>
          <w:color w:val="auto"/>
        </w:rPr>
      </w:pPr>
    </w:p>
    <w:p>
      <w:pPr>
        <w:ind w:left="1200" w:hanging="449"/>
        <w:spacing w:after="0" w:line="293"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and</w:t>
      </w:r>
    </w:p>
    <w:p>
      <w:pPr>
        <w:spacing w:after="0" w:line="56" w:lineRule="exact"/>
        <w:rPr>
          <w:rFonts w:ascii="Arial" w:cs="Arial" w:eastAsia="Arial" w:hAnsi="Arial"/>
          <w:sz w:val="16"/>
          <w:szCs w:val="16"/>
          <w:color w:val="auto"/>
        </w:rPr>
      </w:pPr>
    </w:p>
    <w:p>
      <w:pPr>
        <w:ind w:left="1200" w:hanging="449"/>
        <w:spacing w:after="0" w:line="269"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penalties, including civil, criminal and administrative penalties, damages, fines, disgorgement,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Healthcare Reform</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United States, a number of legislative and regulatory proposals have been considered or enacted to change the healthcare system in ways that could affect a medical device manufacturer’s business. Among policy makers and payors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64" w:lineRule="exact"/>
        <w:rPr>
          <w:sz w:val="20"/>
          <w:szCs w:val="20"/>
          <w:color w:val="auto"/>
        </w:rPr>
      </w:pPr>
    </w:p>
    <w:p>
      <w:pPr>
        <w:ind w:left="1200" w:right="200" w:hanging="449"/>
        <w:spacing w:after="0" w:line="302"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46" w:lineRule="exact"/>
        <w:rPr>
          <w:rFonts w:ascii="Arial" w:cs="Arial" w:eastAsia="Arial" w:hAnsi="Arial"/>
          <w:sz w:val="16"/>
          <w:szCs w:val="16"/>
          <w:color w:val="auto"/>
        </w:rPr>
      </w:pPr>
    </w:p>
    <w:p>
      <w:pPr>
        <w:ind w:left="1200" w:right="80" w:hanging="449"/>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efficacy research in an effort to coordinate and develop such research;</w:t>
      </w:r>
    </w:p>
    <w:p>
      <w:pPr>
        <w:spacing w:after="0" w:line="62" w:lineRule="exact"/>
        <w:rPr>
          <w:rFonts w:ascii="Arial" w:cs="Arial" w:eastAsia="Arial" w:hAnsi="Arial"/>
          <w:sz w:val="18"/>
          <w:szCs w:val="18"/>
          <w:color w:val="auto"/>
        </w:rPr>
      </w:pPr>
    </w:p>
    <w:p>
      <w:pPr>
        <w:ind w:left="1200" w:right="260" w:hanging="449"/>
        <w:spacing w:after="0" w:line="342"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5" w:lineRule="exact"/>
        <w:rPr>
          <w:rFonts w:ascii="Arial" w:cs="Arial" w:eastAsia="Arial" w:hAnsi="Arial"/>
          <w:sz w:val="16"/>
          <w:szCs w:val="16"/>
          <w:color w:val="auto"/>
        </w:rPr>
      </w:pPr>
    </w:p>
    <w:p>
      <w:pPr>
        <w:ind w:left="1200" w:hanging="449"/>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provisions of the PPACA have yet to be implemented, and there have been judicial and Congressional challenges to certain aspects of the PPACA, as well as recent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or the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The 2018 Appropriations Resolution delayed the implementation of certain PPACA-mandated fees, including, without limitation, the medical device excise tax. The Bipartisan Budget Act of 2018, or the BBA, among other things, amends the PPACA, effective January 1, 2019,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U.S. District Court Judge in the Northern District of Texas, or Texas District Court Judge, ruled that the individual mandate is a critical and inseverable feature of the PPACA, and therefore, because it was repealed as part of the Tax Act, the remaining provisions of the PPACA are invalid as well. While the Texas District Court Judge, as well as the Trump administration and CMS, have stated that the ruling will have no immediate effect, it is unclear how this decision, subsequent appeals, if any, and other efforts to repeal and replace the PPACA will impact the PPACA.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right="80"/>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legislative amendments to the statute, including the Bipartisan Budget Act of 2018, will stay in effect through 2027 unless additional Congressional action is taken. On January 2, 2013, President Obama signed into law the American Taxpayer Relief Act of 2012, or the ATRA, which, among other things, further reduced Medicare payments to several types of providers and increased the statute of limitations period for the government to recover overpayments to providers from three to five years. In addition, the Medicare Access and CHIP Reauthorization Act of 2015, enacted on April 16, 2015, or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It is likely that additional state and federal healthcare reform measures will be adopted in the future, any of which could limit the amounts that federal and state governments will pay for healthcare products and services, which could result in reduced demand for a medical device manufacturer’s products or additional pricing pressure.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Japanese Regulation</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Japan, medical devices must be approved prior to importation and commercial sale by the JMHLW. The approval process identifies a Marketing Authorization Holder, or MAH, who is designated as the only authorized seller of products. Manufacturers of medical devices outside of Japan who do not operate through a Japanese entity are able to designate a MAH who will apply for product approval and take responsibility for the medical device as designated. The JMHLW evaluates each device for safety and efficacy. As part of its approval process, the JMHLW may require that the product be tested in Japanese laboratories. The approval process ranges in length and certain medical devices may require a longer review period for approval. Once a device is approved, the JMHLW issues a Shonin to the MAH or designated MAH, thereby permitting such entity to import the device into Japan for sale.</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After a device is approved for importation and commercial sale in Japan, the MHLW continues to monitor sales of approved products for compliance with labeling regulations, which prohibit promotion of devices for unapproved uses, and reporting regulations, which require reporting of product malfunctions, including serious injury or death caused by any approved device. Failure to comply with applicable regulatory requirements can result in enforcement action by the MHLW, which may include fines, injunctions, and civil penalties; recall or seizure of our products; operating restrictions; partial suspension or total shutdown of sales in Japan; or criminal prosecution.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Import-export. </w:t>
      </w:r>
      <w:r>
        <w:rPr>
          <w:rFonts w:ascii="Arial" w:cs="Arial" w:eastAsia="Arial" w:hAnsi="Arial"/>
          <w:sz w:val="16"/>
          <w:szCs w:val="16"/>
          <w:color w:val="auto"/>
        </w:rPr>
        <w:t>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Data Privacy and Cybersecurity Laws and Regulations. </w:t>
      </w:r>
      <w:r>
        <w:rPr>
          <w:rFonts w:ascii="Arial" w:cs="Arial" w:eastAsia="Arial" w:hAnsi="Arial"/>
          <w:sz w:val="16"/>
          <w:szCs w:val="16"/>
          <w:color w:val="auto"/>
        </w:rPr>
        <w:t>As a business with a significant global footprint, compliance with evolving regulations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60"/>
        <w:spacing w:after="0" w:line="255"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2019, we had 235 full time employees working collaboratively across our sales and customer support team, in research and development, including clinical, regulatory and certain quality functions, operations and in general and administrative. All of our employees are employed full time. We have never had a work stoppage and none of our employees are covered by collective bargaining agreements or represented by a labor union. We believe that our employee relations are strong.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 xml:space="preserve">We were incorporated in Delaware in April of 2003. Our principal executive offices are located at 3222 Phoenixville Pike, Malvern, Pennsylvania 19355, and our telephone number is (610) 640-4202. Our website address is </w:t>
      </w:r>
      <w:r>
        <w:rPr>
          <w:rFonts w:ascii="Arial" w:cs="Arial" w:eastAsia="Arial" w:hAnsi="Arial"/>
          <w:sz w:val="17"/>
          <w:szCs w:val="17"/>
          <w:u w:val="single" w:color="auto"/>
          <w:color w:val="auto"/>
        </w:rPr>
        <w:t>www.neurostar.com</w:t>
      </w:r>
      <w:r>
        <w:rPr>
          <w:rFonts w:ascii="Arial" w:cs="Arial" w:eastAsia="Arial" w:hAnsi="Arial"/>
          <w:sz w:val="17"/>
          <w:szCs w:val="17"/>
          <w:color w:val="auto"/>
        </w:rPr>
        <w:t>. We make available, free of charge on our website,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 xml:space="preserve">K and all amendments to those reports filed or furnished pursuant to Section 13(a) or 15(d) of the Securities Exchange Act of 1934, as amended, or the Exchange Act, as soon as reasonably practicable after we electronically file those reports with, or furnish them to, the SEC. The SEC maintains an Internet site that contains reports, proxy and information statements, and other information regarding issuers that file electronically with the SEC, which can be found at </w:t>
      </w:r>
      <w:r>
        <w:rPr>
          <w:rFonts w:ascii="Arial" w:cs="Arial" w:eastAsia="Arial" w:hAnsi="Arial"/>
          <w:sz w:val="17"/>
          <w:szCs w:val="17"/>
          <w:u w:val="single" w:color="auto"/>
          <w:color w:val="auto"/>
        </w:rPr>
        <w:t>www.sec.gov</w:t>
      </w:r>
      <w:r>
        <w:rPr>
          <w:rFonts w:ascii="Arial" w:cs="Arial" w:eastAsia="Arial" w:hAnsi="Arial"/>
          <w:sz w:val="17"/>
          <w:szCs w:val="17"/>
          <w:color w:val="auto"/>
        </w:rPr>
        <w:t>. The information contained on, or accessible through, our website is not incorporated by reference into this Annual Report on Form 10-K, and you should not consider any information contained in, or that can be accessed through, our website as part of this Annual Report on Form 10-K.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tabs>
          <w:tab w:leader="none" w:pos="17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contained in this Annual Report on Form 10-K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may be unable to achieve or sustain profitability in the future.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incurred net losses since inception, including net losses of $29.0 million and $24.1 million for the years ended December 31, 2019 and 2018 respectively. As a result of ongoing losses, as of December 31, 2019, we had an accumulated deficit of $250.1 million. We expect to continue to incur significant sales and marketing, product development, regulatory and other expenses as we continue to expand our marketing efforts to increase adoption of our products and expand existing relationships with our customers, to obtain regulatory clearances or approvals for our products in additional countries and for additional indications, and to develop new products or add new features to our existing products. The net losses we incur may fluctuate significantly from quarter to quarter. We will need to generate significant additional revenues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sale of our NeuroStar Advanced Therapy System and treatment sessions to generate revenues.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on the sale of our NeuroStar Advanced Therapy System and treatment sessions to generate revenues, and we expect to generate substantially all of our revenues in the foreseeable future from sales of these and any related products and services. Because the market for TMS therapy is still developing and contains a limited number of market participants, sales of our products could be negatively impacted by unfavorable market reactions to our or other TMS devices. If the use of our or other TMS therapies results in serious adverse events, or such products malfunction or are misused, patients and psychiatrists may attribute such negative events to TMS therapy generally, which may adversely affect market adoption of our products. Additionally, if patients undergoing treatment with a NeuroStar Advanced Therapy System perceive the benefits to be inadequate or adverse events too numerous or severe compared to the relevant rates of alternative TMS therapies or pharmaceutical options, it will be difficult to demonstrate the value of our NeuroStar Advanced Therapy System to patients and psychiatrists. As a result, demand for and the use of our NeuroStar Advanced Therapy System may decline or may not increase at the pace or to the levels we expect.</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coverage is unavailable or reimbursement from third-party payors for treatments using our products significantly declines, psychiatrists may be reluctant to use our products.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United States, sales of our products will depend, in part, on the extent to which the treatment sessions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Further, patients who are treated in-office for a medical condition generally rely on third-party payors to reimburse all or part of the costs associated with the treatment and may be unwilling to undergo such treatment in the absence of coverage and adequate reimbursement, or due to large annual deductibles associated with certain health insurance plans.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right="80"/>
        <w:spacing w:after="0" w:line="297" w:lineRule="auto"/>
        <w:rPr>
          <w:sz w:val="20"/>
          <w:szCs w:val="20"/>
          <w:color w:val="auto"/>
        </w:rPr>
      </w:pPr>
      <w:r>
        <w:rPr>
          <w:rFonts w:ascii="Arial" w:cs="Arial" w:eastAsia="Arial" w:hAnsi="Arial"/>
          <w:sz w:val="16"/>
          <w:szCs w:val="16"/>
          <w:color w:val="auto"/>
        </w:rPr>
        <w:t>In the United States, there is no uniform policy of coverage and reimbursement among third-party payors. Third-party payors often rely upon Medicare coverage policies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is made on a plan-by-plan basis. One payor’s determination to provide coverage for a specific treatment does not assure that other payors will also provide coverage, and adequate reimbursement.</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payors outside of the United States are not obtained, international sales of our products may not materialize or grow significantly.</w:t>
      </w:r>
    </w:p>
    <w:p>
      <w:pPr>
        <w:spacing w:after="0" w:line="171"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The marketability of our products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adequately train psychiatrists and other treatment providers on the safe and appropriate use of our products, we may be unable to achieve our expected growth.</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 is a learning process involved for treatment providers to become proficient in the use of our products, which requires us to spend considerable time and resources for training. It is critical to the success of our commercialization efforts to train a sufficient number of psychiatrists and to provide them with adequate, ongoing instruction and training in the use of our products. This training process generally requires psychiatrists to review and study product materials, engage in multi-day, hands-on training sessions for up to four hours a day and participate in a multi-day observational period prior to treating patients independently. This training process may also take longer than expected or be more complicated than the psychiatrists or their personnel are comfortable with and may therefore affect our ability to increase sales. Convincing psychiatrists to dedicate the time and energy necessary for adequate training is challenging, and we may not be successful in these efforts.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Psychiatrists and patients may be slow to adopt and use TMS therapies.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TMS therapy is an emerging treatment option for patients suffering from MDD. As a result, psychiatrist and patient awareness of TMS therapy as a treatment option for MDD, and experience with TMS therapies, is limited. Our success depends in large part on our ability to educate and train psychiatrist and patients, and successfully demonstrate the safety, tolerability, ease of use, efficacy, cost effectiveness and other merits of our NeuroStar Advanced Therapy System. We have been engaging in an active marketing campaign to raise awareness of our NeuroStar Advanced Therapy System and its benefits among psychiatrists, but we cannot assure you that these efforts will be successful or that they will not prove to be cost-prohibitive. Some psychiatrists may also find the initial patient set up and the subsequent procedures for future treatment sessions to be difficult or complicated, or could be wary of the initial investment required for the purchase of the NeuroStar Advanced Therapy System, which may impact their decision to purchase or use the NeuroStar Advanced Therapy System as part of their practice. Similarly, psychiatrists may find it difficult to hire additional staff, allocate sufficient space or operationalize our NeuroStar Advanced Therapy System, which could slow its adoption.</w:t>
      </w:r>
    </w:p>
    <w:p>
      <w:pPr>
        <w:spacing w:after="0" w:line="1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psychiatrists may not derive sufficient cash flow from using the NeuroStar Advanced Therapy Systems due to their own practice economics or otherwise. Failure to achieve economic benefits from the purchase or use of the NeuroStar Advanced Therapy System would adversely affect our customers’ purchase of treatment sessions. These factors could also reduce the number of procedures performed using our NeuroStar Advanced Therapy System, and if we do not facilitate the utilization of our products by our customers, our revenues and results of operations could be harmed.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success depends upon patient satisfaction with the effectiveness of our NeuroStar Advanced Therapy System.</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order to generate repeat and referral business, patients must be satisfied with the effectiveness of our NeuroStar Advanced Therapy System. Clinical studies demonstrate that, in order to be effective, our products must be used for a period of four to six weeks, and require a patient to return to a psychiatrist’s office five days a week during that period in order to receive the recommended course of treatment. Since patients who achieve response or remission using our therapy will obtain these results gradually over this treatment period, their perception of their results may vary depending on their compliance with the prescribed treatment course.</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train our psychiatrist customers to select the appropriate patient candidates for treatment using the NeuroStar Advanced Therapy System, explain to their patients the time-period over which the results from a treatment course can be expected to occur, and measure the success of treatments using medical guidelines. However, our psychiatrist customers may not select appropriate patient candidates for NeuroStar Advanced Therapy treatment, which may produce results that may not meet patients’ expectations. In addition, the efficacy of treatment is dependent on proper patient set up at the initial treatment session and duplication of that set up at future treatment sessions. To the extent psychiatrists do not make the proper measurements for a specific patient or use the same procedures at each treatment session, it could result in variability of the treatment efficacy and results for the patient. If patients are not satisfied with the results of our NeuroStar Advanced Therapy System, our reputation and future sales will suffer.</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sales and operating results may be negatively affected.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products that reach the market in a timely manner, to receive adequate coverage and reimbursement from third-party payors, and to successfully demonstrate to psychiatrists and patients the merits of our products compared to those of our competitors. If we are not successful in convincing others of the merits of our products, including in comparison to those of our competitors, or educating them on the use of our products, they may not use our products or use them effectively and we may be unable to increase our sales.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competitors that sell other forms of TMS therapy, including Brainsway, Magstim, MagVenture, CloudTMS and Nexstim, that compete directly with the NeuroStar Advanced Therapy System.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competitive products, such as antidepressant medications.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may face difficulties encountered by companies in new and evolving markets.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assessing our prospects, you must consider the risks and difficulties frequently encountered by companies in new and evolving markets. These risks include our ability to:</w:t>
      </w:r>
    </w:p>
    <w:p>
      <w:pPr>
        <w:spacing w:after="0" w:line="62" w:lineRule="exact"/>
        <w:rPr>
          <w:sz w:val="20"/>
          <w:szCs w:val="20"/>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awareness of our brand and strengthen customer loyalty;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execute our business and marketing strategy;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products in development;</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regulatory clearance or approval to commercialize new products and enhance our existing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refrain from infringing on the intellectual property rights of others, and maintaining appropriate legal policies and procedures;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presence in existing and commence operations in new international markets;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retain and motivate qualified personnel.</w:t>
      </w:r>
    </w:p>
    <w:p>
      <w:pPr>
        <w:spacing w:after="0" w:line="33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expand our sales and customer support team and adequately address our customers’ needs, it could negatively impact sales and market acceptance of our products and we may never generate sufficient revenues to achieve or sustain profitability.</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operating results are directly dependent upon the sales and marketing efforts of our sales and customer support team in the United States and our independent third-party distributors outside of the United States. If our employees or our independent distributors fail to adequately promote, market and sell our products, our sales could significantly decrease.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our future sales will largely depend on our ability to increase our marketing efforts and adequately address our customers’ needs. We believe it is necessary to expand our sales force, including by hiring additional sales representatives or distributors with specific technical backgrounds that can support our customers’ needs.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we launch new products, expand our product offerings to new indications or increase our marketing efforts with respect to existing products,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or our inability to attract and retain highly skilled executives, salespeople and product development personnel could negatively impact our business.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success depends on the skills, experience and performance of the members of our senior management team. The individual and collective efforts of these employees will be important as we continue to develop our products and as we expand our commercial activities. We believe that it is challenging to identify individuals with the requisite skills to serve in many of our key positions, and the loss or incapacity of existing members of our executive management team could negatively impact our operations. We do not maintain key man life insurance on any of our employees. The existence of our Chief Executive Officer’s employment agreement does not guarantee our retention of our Chief Executive Officer for any period of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2" w:name="page23"/>
    <w:bookmarkEnd w:id="22"/>
    <w:p>
      <w:pPr>
        <w:spacing w:after="0" w:line="272" w:lineRule="auto"/>
        <w:rPr>
          <w:sz w:val="20"/>
          <w:szCs w:val="20"/>
          <w:color w:val="auto"/>
        </w:rPr>
      </w:pPr>
      <w:r>
        <w:rPr>
          <w:rFonts w:ascii="Arial" w:cs="Arial" w:eastAsia="Arial" w:hAnsi="Arial"/>
          <w:sz w:val="17"/>
          <w:szCs w:val="17"/>
          <w:color w:val="auto"/>
        </w:rPr>
        <w:t>Our commercial, supply chain and research and development programs and operations depend on our ability to attract and retain highly skilled managers, salespeople and product development and customer training personnel. We may be unable to attract or retain qualified managers, salespeople or product development and customer training personnel in the future due to the competition for qualified personnel in the medical treatment and device fields, as well as other fields.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286" w:lineRule="exact"/>
        <w:rPr>
          <w:sz w:val="20"/>
          <w:szCs w:val="20"/>
          <w:color w:val="auto"/>
        </w:rPr>
      </w:pPr>
    </w:p>
    <w:p>
      <w:pPr>
        <w:ind w:right="980"/>
        <w:spacing w:after="0" w:line="375" w:lineRule="auto"/>
        <w:rPr>
          <w:sz w:val="20"/>
          <w:szCs w:val="20"/>
          <w:color w:val="auto"/>
        </w:rPr>
      </w:pPr>
      <w:r>
        <w:rPr>
          <w:rFonts w:ascii="Arial" w:cs="Arial" w:eastAsia="Arial" w:hAnsi="Arial"/>
          <w:sz w:val="15"/>
          <w:szCs w:val="15"/>
          <w:b w:val="1"/>
          <w:bCs w:val="1"/>
          <w:i w:val="1"/>
          <w:iCs w:val="1"/>
          <w:color w:val="auto"/>
        </w:rPr>
        <w:t>Our long-term growth depends on our ability to commercialize our approved products for current and future indications and to develop and commercialize additional products through our research and development efforts. If we fail to do so we may be unable to compete effectively.</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increase our future revenues, we must successfully enhance our existing product offerings and introduce new products in response to changing customer demands and competitive pressures and technologies. Our industry is characterized by intense competition, including from lower-cost competitors, rapid technological changes, new product introductions and enhancements and evolving industry standards. We also face competition from pharmaceutical companies, including large pharmaceutical companies with greater capital. Our business prospects depend in part on our ability to develop and commercialize new products and applications for our technology, including in new markets that develop as a result of technological, pharmaceutical and scientific advances, while improving the performance and cost-effectiveness of our products. New pharmaceutical products, technologies, techniques or other products could emerge that might offer better combinations of price and performance than our products. It is important that we anticipate changes in technology and market demand, as well as psychiatrist practices to successfully develop, obtain clearance or approval, if required, and successfully introduce new, enhanced and competitive technologies to meet our prospective customers’ needs on a timely and cost-effective basis.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might be unable to successfully further commercialize or develop or obtain regulatory clearances or approvals to market new products or our existing products for additional indications. For example, our NeuroStar Advanced Therapy System did not meet the primary endpoint in the initial phase of the clinical trial of adolescents with MDD. While we intend to complete the remaining phases of this clinical trial, in light of these results we are unlikely to seek clearance for this indication. Additionally, these products and any future products, even if cleared, might not be accepted by psychiatrists or the third-party payors who reimburse for the procedures performed with our products. The success of any new product offering or enhancement to an existing product will depend on numerous additional factors, including our ability to:</w:t>
      </w:r>
    </w:p>
    <w:p>
      <w:pPr>
        <w:spacing w:after="0" w:line="85" w:lineRule="exact"/>
        <w:rPr>
          <w:sz w:val="20"/>
          <w:szCs w:val="20"/>
          <w:color w:val="auto"/>
        </w:rPr>
      </w:pPr>
    </w:p>
    <w:p>
      <w:pPr>
        <w:ind w:left="1200" w:hanging="44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demonstrate the benefits associated with the use or our products when compared to the products and devices of our competitors;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do not develop and obtain regulatory clearances or approvals for new products or indications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7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rely on single-source suppliers for some components used in our NeuroStar Advanced Therapy System, and we do not have long-term supply contracts with these suppliers. Furthermore, we rely on a single manufacturer for the assembly of the mobile console and patient positioning system used in our NeuroStar Advanced Therapy System. For us to be successful, our suppliers and contract manufacturer must be able to provide us with components in substantial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NeuroStar Advanced Therapy System. An interruption in our commercial operations could occur if we encounter delays or difficulties in securing these components or manufactured products, if we cannot obtain an acceptable substitute.</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transition to a new supplier or contract manufacturer could be time-consuming and expensive, may result in interruptions in our operations and product delivery, could affect the performance specifications of our NeuroStar Advanced Therapy System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our products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our NeuroStar Advanced Therapy System in a timely and cost-effective manner.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 which could make it difficult to execute our business strategy.</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been growing rapidly and have a relatively short history of operating as a commercial company. For example, our revenues grew from $52.8 million for the year ended December 31, 2018 to $62.7 million for the year ended December 31, 2019. 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Because our products require us to devote significant resources to training our customers on the use, and educating our customers on the benefits, of our products, we will be required to expand these personnel as we increase our sales efforts. We may not successfully implement these increases in scale or the expansion of our personnel, which could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500"/>
        <w:spacing w:after="0" w:line="277" w:lineRule="auto"/>
        <w:rPr>
          <w:sz w:val="20"/>
          <w:szCs w:val="20"/>
          <w:color w:val="auto"/>
        </w:rPr>
      </w:pPr>
      <w:r>
        <w:rPr>
          <w:rFonts w:ascii="Arial" w:cs="Arial" w:eastAsia="Arial" w:hAnsi="Arial"/>
          <w:sz w:val="18"/>
          <w:szCs w:val="18"/>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6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rely, and expect to rely in the future, on a network of third-party distributors to market and distribute our products in international markets. We currently sell our products in five countries outside of the United States and plan to market and sell our products through our exclusive distribution agreement in Japan once we attain reimbursement approval. We are assessing the opportunity to continue expanding into other international markets. We may face significant challenges and risks in managing a geographically dispersed distribution network. We have limited ability to control any third-party distributors. Our distributors may be unable to successfully market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our sales.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currently market and sell our products outside of the United States, including in Japan, and plan to market and sell our products through our exclusive distribution agreement in Japan. Once we attain satisfactory reimbursement approval, we expect that sales of our NeuroStar Advanced Therapy System in Japan will increase.</w:t>
      </w:r>
    </w:p>
    <w:p>
      <w:pPr>
        <w:spacing w:after="0" w:line="18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46" w:lineRule="exact"/>
        <w:rPr>
          <w:sz w:val="20"/>
          <w:szCs w:val="20"/>
          <w:color w:val="auto"/>
        </w:rPr>
      </w:pPr>
    </w:p>
    <w:p>
      <w:pPr>
        <w:ind w:left="1200" w:hanging="449"/>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staffing and managing foreign and geographically dispersed operations, to the extent we establish non-U.S. operations;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attaining reimbursement under differing and multiple payor reimbursement regimes, government payors or patient self-pay systems;</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117" w:lineRule="exact"/>
        <w:rPr>
          <w:rFonts w:ascii="Arial" w:cs="Arial" w:eastAsia="Arial" w:hAnsi="Arial"/>
          <w:sz w:val="18"/>
          <w:szCs w:val="18"/>
          <w:color w:val="auto"/>
        </w:rPr>
      </w:pPr>
    </w:p>
    <w:p>
      <w:pPr>
        <w:ind w:left="120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or the FCPA, and anti-money laundering laws;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117" w:lineRule="exact"/>
        <w:rPr>
          <w:rFonts w:ascii="Arial" w:cs="Arial" w:eastAsia="Arial" w:hAnsi="Arial"/>
          <w:sz w:val="18"/>
          <w:szCs w:val="18"/>
          <w:color w:val="auto"/>
        </w:rPr>
      </w:pPr>
    </w:p>
    <w:p>
      <w:pPr>
        <w:ind w:left="1200" w:right="40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62" w:lineRule="exact"/>
        <w:rPr>
          <w:rFonts w:ascii="Arial" w:cs="Arial" w:eastAsia="Arial" w:hAnsi="Arial"/>
          <w:sz w:val="18"/>
          <w:szCs w:val="18"/>
          <w:color w:val="auto"/>
        </w:rPr>
      </w:pPr>
    </w:p>
    <w:p>
      <w:pPr>
        <w:ind w:left="1200" w:right="240" w:hanging="449"/>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1200" w:right="320" w:hanging="449"/>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increases of withholding and other taxes on remittances and other payments by foreign subsidiaries or joint ventures;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117" w:lineRule="exact"/>
        <w:rPr>
          <w:rFonts w:ascii="Arial" w:cs="Arial" w:eastAsia="Arial" w:hAnsi="Arial"/>
          <w:sz w:val="18"/>
          <w:szCs w:val="18"/>
          <w:color w:val="auto"/>
        </w:rPr>
      </w:pPr>
    </w:p>
    <w:p>
      <w:pPr>
        <w:ind w:left="1200" w:right="400" w:hanging="449"/>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armed conflicts or economic, political, health (including pandemic diseases such as COVID-19 from coronavirus) or social instability in foreign countries and regions;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200" w:right="400" w:hanging="449"/>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availability of government subsidies or other incentives that benefit competitors in their local markets that are not available to us; and</w:t>
      </w:r>
    </w:p>
    <w:p>
      <w:pPr>
        <w:spacing w:after="0" w:line="128" w:lineRule="exact"/>
        <w:rPr>
          <w:rFonts w:ascii="Arial" w:cs="Arial" w:eastAsia="Arial" w:hAnsi="Arial"/>
          <w:sz w:val="17"/>
          <w:szCs w:val="17"/>
          <w:color w:val="auto"/>
        </w:rPr>
      </w:pPr>
    </w:p>
    <w:p>
      <w:pPr>
        <w:ind w:left="1200" w:hanging="44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post-market surveillance on product performance.</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2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employees, consultants, distributors and other commercial partners may engage in misconduct or other improper activities, including non-compliance with regulatory standards and requirements.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spacing w:after="0" w:line="308" w:lineRule="auto"/>
        <w:rPr>
          <w:sz w:val="20"/>
          <w:szCs w:val="20"/>
          <w:color w:val="auto"/>
        </w:rPr>
      </w:pPr>
      <w:r>
        <w:rPr>
          <w:rFonts w:ascii="Arial" w:cs="Arial" w:eastAsia="Arial" w:hAnsi="Arial"/>
          <w:sz w:val="17"/>
          <w:szCs w:val="17"/>
          <w:b w:val="1"/>
          <w:bCs w:val="1"/>
          <w:i w:val="1"/>
          <w:iCs w:val="1"/>
          <w:color w:val="auto"/>
        </w:rPr>
        <w:t>We rely in part on third parties to conduct our clinical trials. If these third parties fail to perform their duties on time or as expected, we may not be able to obtain regulatory approval for additional indications that we may seek for the NeuroStar Advanced Therapy System.</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clinical trials are managed by our own staff and personnel, but we rely in part upon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approving a marketing application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in a specified indication.</w:t>
      </w:r>
    </w:p>
    <w:p>
      <w:pPr>
        <w:spacing w:after="0" w:line="29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business exposes us to potential product liability claims that are inherent in the testing, manufacture and sale of medical devices for the treatment of MDD. Our treatments are designed for patients who suffer from significant psychiatric disorders, and these patients are more likely to experience significant adverse health outcomes, which could increase the risk of product liability lawsuits. Furthermore, if psychiatrists are not sufficiently trained in the use of our products, they may misuse or ineffectively use our products,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117" w:lineRule="exact"/>
        <w:rPr>
          <w:sz w:val="20"/>
          <w:szCs w:val="20"/>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new products or product candidates;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cybersecurity liability, employee benefits liability, property,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bear the risk of warranty claims on the products we supply for two years from the date of delivery. There can be no assurance that we will not face increased claims in the future.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for our TrakStar system and accounting, data storage, compliance, purchasing and inventory management. We do not have redundant systems at this time.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provide customers with data on patient outcomes, track the usage of our products, timely ship and track product orders, project inventory requirements, manage our supply chain and otherwise adequately service our customers or disrupt our customers’ ability to access patient data or use our products for treatments.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 Currently we carry business interruption coverage to mitigate any potential losses, but we cannot be certain that such potential losses will not exceed our policy limits.</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part of our business we receive and process information about our customers, partners and their patients, including protected health information, or PHI, and we may store or contract with third parties to store our customers’ data, including PHI. PHI, a subset of individually identifiable information, is regulated at the federal level by HIPAA, as amended by HITECH, and by various laws at the state level, as more fully described below. We are required to safeguard PHI in accordance with HIPAA and, as a business associate, we are also directly liable for compliance with HIPAA.</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security measures we have implemented relating to our NeuroStar Advanced Therapy System and TrakStar database, specifically, and our operations, generally, may not prevent security breaches that could harm our business. Advances in computer capabilities, inadequate technology or facility security measures or other factors may result in a compromise or breach of our systems and the data and PHI we store and process. Our security measures may be breached as a result of actions by third parties or employee error or malfeasance.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under HIPAA,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Employees may, from time to time, bring lawsuits against us or make public claims about us regarding injury, creating a hostile workplace,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or allegations, our business could be negatively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2017 comprehensive tax reform law could adversely affect our business and financial condition.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22, 2017, President Trump signed into law new legislation, (Pub. L. 115-97), commonly referred to as the Tax Cuts and Jobs Act of 2017, or the TCJA, which significantly revised the Internal Revenue Code of 1986, as amended. The TCJA, among other things, contained significant changes to corporate taxation, including the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vulnerable to interruption or loss due to natural or other disasters, power loss, strikes and other events beyond our control.</w:t>
      </w:r>
    </w:p>
    <w:p>
      <w:pPr>
        <w:spacing w:after="0" w:line="14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A major earthquake, fire or other disaster, such as a major flood, seasonal storms, pandemic disease (such as COVID-19 from coronavirus),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w:t>
      </w:r>
    </w:p>
    <w:p>
      <w:pPr>
        <w:ind w:right="40"/>
        <w:spacing w:after="0" w:line="290" w:lineRule="auto"/>
        <w:rPr>
          <w:sz w:val="20"/>
          <w:szCs w:val="20"/>
          <w:color w:val="auto"/>
        </w:rPr>
      </w:pPr>
      <w:r>
        <w:rPr>
          <w:rFonts w:ascii="Arial" w:cs="Arial" w:eastAsia="Arial" w:hAnsi="Arial"/>
          <w:sz w:val="16"/>
          <w:szCs w:val="16"/>
          <w:color w:val="auto"/>
        </w:rPr>
        <w:t>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or their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pandemic diseases (including COVID-19 from coronavirus) could have a negative effect on our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ind w:right="160"/>
        <w:spacing w:after="0" w:line="264" w:lineRule="auto"/>
        <w:rPr>
          <w:sz w:val="20"/>
          <w:szCs w:val="20"/>
          <w:color w:val="auto"/>
        </w:rPr>
      </w:pPr>
      <w:r>
        <w:rPr>
          <w:rFonts w:ascii="Arial" w:cs="Arial" w:eastAsia="Arial" w:hAnsi="Arial"/>
          <w:sz w:val="18"/>
          <w:szCs w:val="18"/>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business could be adversely affected by the effects of a widespread outbreak of contagious disease, including the recent outbreak of a respiratory illness known as COVID-19 caused by coronavirus. In an effort to halt the outbreak of COVID-19, the Chinese government and the governments of other impacted countries, such as Italy and the Republic of Korea, have placed significant restrictions on travel within their respective borders, leading to extended business closures in some instances. These travel restrictions and business closures could adversely impact our operations in Japan, including our ability to sell or distribute our products, as well as cause temporary or long-term closures of the offices and facilities of our suppliers and customers. Any disruption of our suppliers in China or customers in Japan could impact our global sales and operating results. We cannot at this time accurately predict what effects these conditions will have on our operations due to uncertainties relating to the ultimate geographic spread of the virus, the incidence and severity of the disease, the duration of the outbreak, and the length of the travel restrictions and business closures imposed by governments of impacted countries.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27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5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46" w:lineRule="exact"/>
        <w:rPr>
          <w:sz w:val="20"/>
          <w:szCs w:val="20"/>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1200" w:right="120" w:hanging="449"/>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1" w:name="page32"/>
    <w:bookmarkEnd w:id="31"/>
    <w:p>
      <w:pPr>
        <w:ind w:right="200"/>
        <w:spacing w:after="0" w:line="259"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Generally accepted accounting principles in the United States, or U.S. GAAP, are subject to interpretation by the Financial Accounting Standards Board, or FASB,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Refer to “Note 4. Recent Accounting Pronouncements” in our audited financial statements and related notes thereto included elsewhere in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results of operations may fluctuate over the course of the year.</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experienced and may continue to experience meaningful variability in our sales and gross profit among quarters. A number of factors over which we have limited control, such as seasonal variations in revenues, may contribute to fluctuations in our financial results. In the first quarter, our results can be impacted by severe weather and by the resetting of annual U.S. patient healthcare insurance plan deductibles, which may cause delays in patients seeking NeuroStar Advanced Therapy treatments. Historically, we have seen a sequential decline in third quarter revenues, which we believe is attributable to summer vacation plans of psychiatrists and patients. In addition, the fourth quarter has consistently been a strong revenue quarter on a sequential basis primarily due to U.S. psychiatrists’ historical timing for capital expenditures and patients’ needs to exhaust remaining balances in flexible spending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we expect may contribute to variability in our sales and gross profit over the course of the year include:</w:t>
      </w:r>
    </w:p>
    <w:p>
      <w:pPr>
        <w:spacing w:after="0" w:line="117" w:lineRule="exact"/>
        <w:rPr>
          <w:sz w:val="20"/>
          <w:szCs w:val="20"/>
          <w:color w:val="auto"/>
        </w:rPr>
      </w:pPr>
    </w:p>
    <w:p>
      <w:pPr>
        <w:ind w:left="1200" w:hanging="449"/>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growth or decline of our installed system base;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unpredictability of future sales by our international distributors, including through our exclusive distributor in Japan;</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left="1200" w:hanging="44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or failure to obtain regulatory clearances or approvals for other products, indications or treatments;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benefits and timing of new product introductions.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products, or product candidates, development and commercialization of our products and product candidates may be adversely affected.</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applied, and we intend to continue applying, for patents covering aspects of our technologies that we deem appropriate. However, the patent process is expensive and time consuming, and we may not be able to apply for patents on certain aspects of our current or future products and other technologies in a timely fashion, at a reasonable cost, in all jurisdictions, or at all, and any potential patent coverage we obtain may not be sufficient to prevent substantial competition.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cannot offer any assurances about which, if any, of our patent applications will issue or whether any of our issued patents will be found invalid and unenforceable or will be threatened by third parties. Any patent applications we file may be challenged and may not result in issued patents or may be invalidated or narrowed in scope after they are issued. We also cannot provide any assurances that any of our patents have, or that any of our pending patent applications that mature into issued patents will include, claims with a scope sufficient to protect and provide exclusivity for our products, any additional features we develop for our products or any new products. 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Any successful opposition to these patents or any other patents owned by or, if applicable in the future, licensed to us could deprive us of rights necessary for the practice of our technologies or the successful commercialization of any products or product candidates that we may develop. Since patent applications in the US and most other countries are confidential for a period of time after filing, we cannot be certain that we or our licensors were the first to file any patent application related to our technologies, products, or product candidates. Furthermore, an interference proceeding can be provoked by a third party or instituted by the United States Patent and Trademark Office, or the USPTO, to determine who was the first to invent any of the subject matter covered by the patent claims of our applications for any application with an effective filing date before March 16, 2013.</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3" w:name="page34"/>
    <w:bookmarkEnd w:id="33"/>
    <w:p>
      <w:pPr>
        <w:ind w:right="100"/>
        <w:spacing w:after="0" w:line="270" w:lineRule="auto"/>
        <w:rPr>
          <w:sz w:val="20"/>
          <w:szCs w:val="20"/>
          <w:color w:val="auto"/>
        </w:rPr>
      </w:pPr>
      <w:r>
        <w:rPr>
          <w:rFonts w:ascii="Arial" w:cs="Arial" w:eastAsia="Arial" w:hAnsi="Arial"/>
          <w:sz w:val="17"/>
          <w:szCs w:val="17"/>
          <w:color w:val="auto"/>
        </w:rPr>
        <w:t>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Proceedings challenging our patents, which may continue for a protracted period of time,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alternative and possibly more effective technologies, designs or methods. We may be unable to prevent the unauthorized disclosure or use of our 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17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200" w:right="20" w:hanging="449"/>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17" w:lineRule="exact"/>
        <w:rPr>
          <w:rFonts w:ascii="Arial" w:cs="Arial" w:eastAsia="Arial" w:hAnsi="Arial"/>
          <w:sz w:val="18"/>
          <w:szCs w:val="18"/>
          <w:color w:val="auto"/>
        </w:rPr>
      </w:pPr>
    </w:p>
    <w:p>
      <w:pPr>
        <w:ind w:left="1200" w:right="540" w:hanging="449"/>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62" w:lineRule="exact"/>
        <w:rPr>
          <w:rFonts w:ascii="Arial" w:cs="Arial" w:eastAsia="Arial" w:hAnsi="Arial"/>
          <w:sz w:val="18"/>
          <w:szCs w:val="18"/>
          <w:color w:val="auto"/>
        </w:rPr>
      </w:pPr>
    </w:p>
    <w:p>
      <w:pPr>
        <w:ind w:left="1200" w:right="320" w:hanging="449"/>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ind w:left="1200" w:right="60" w:hanging="449"/>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62" w:lineRule="exact"/>
        <w:rPr>
          <w:rFonts w:ascii="Arial" w:cs="Arial" w:eastAsia="Arial" w:hAnsi="Arial"/>
          <w:sz w:val="18"/>
          <w:szCs w:val="18"/>
          <w:color w:val="auto"/>
        </w:rPr>
      </w:pPr>
    </w:p>
    <w:p>
      <w:pPr>
        <w:ind w:left="1200" w:right="140" w:hanging="449"/>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1200" w:right="20" w:hanging="449"/>
        <w:spacing w:after="0" w:line="308"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have a material adverse impact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protect our proprietary technologies could harm our competitive position.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our competitors have utilized and are expected to continue utilizing technologies similar to ours, our success will depend upon our ability to protect and continue to develop proprietary technologies and products and to defend any advantages afforded to us relative to our competitors. If we do not protect our intellectual property adequately, competitors may be able to use our technologies and thereby erode any competitive advantages we may have. For example, patents for our core technology will begin to expire in the United States in 2024, and our patents outside of the United States are expected to remain in effect until between 2024 and 2035. We will be able to protect our proprietary rights from unauthorized use by third parties only to the extent that our proprietary technologies are covered by valid and enforceable patents or are effectively maintained as trade secrets. We have agreements with our employees and selected consultants that obligate them to assign their inventions to us. If the employees and consultants who are parties to these agreements breach or violate the terms of these agreements, including by refusing or being unavailable to sign assignments, oaths, declarations or other documents, we may not have adequate remedies for any such breach or violation, and we could lose our rights in inventions through such breaches or violations. Furthermore, it is possible that technology relevant to our business will be independently developed by a person that is not a party to such an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6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commercial success will depend in part on not infringing the patents or violating the other proprietary rights of others. We cannot assure you that our operations do not, or will not in the future, infringe existing or future patents. Our activities may be subject to claims that we infringe or otherwise violate patents owned or controlled by third parties.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product candidates.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Significant litigation regarding patent rights occurs in our industry.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regardless of the merit of the claims, and our adversaries in these proceedings may have the ability to dedicate substantially greater resources to prosecuting these legal actions than we can.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ind w:right="740"/>
        <w:spacing w:after="0" w:line="277" w:lineRule="auto"/>
        <w:rPr>
          <w:sz w:val="20"/>
          <w:szCs w:val="20"/>
          <w:color w:val="auto"/>
        </w:rPr>
      </w:pPr>
      <w:r>
        <w:rPr>
          <w:rFonts w:ascii="Arial" w:cs="Arial" w:eastAsia="Arial" w:hAnsi="Arial"/>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62" w:lineRule="exact"/>
        <w:rPr>
          <w:sz w:val="20"/>
          <w:szCs w:val="20"/>
          <w:color w:val="auto"/>
        </w:rPr>
      </w:pPr>
    </w:p>
    <w:p>
      <w:pPr>
        <w:ind w:left="1200" w:hanging="44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the asserted intellectual property;</w:t>
      </w:r>
    </w:p>
    <w:p>
      <w:pPr>
        <w:spacing w:after="0" w:line="117" w:lineRule="exact"/>
        <w:rPr>
          <w:rFonts w:ascii="Arial" w:cs="Arial" w:eastAsia="Arial" w:hAnsi="Arial"/>
          <w:sz w:val="18"/>
          <w:szCs w:val="18"/>
          <w:color w:val="auto"/>
        </w:rPr>
      </w:pPr>
    </w:p>
    <w:p>
      <w:pPr>
        <w:ind w:left="1200" w:right="18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200" w:right="34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including enhanced damages if we are found to have willfully infringed or misappropriated such rights;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redesign those products that contain the allegedly infringing intellectual property, which could be costly, disruptive and infeasible; and</w:t>
      </w:r>
    </w:p>
    <w:p>
      <w:pPr>
        <w:spacing w:after="0" w:line="128" w:lineRule="exact"/>
        <w:rPr>
          <w:rFonts w:ascii="Arial" w:cs="Arial" w:eastAsia="Arial" w:hAnsi="Arial"/>
          <w:sz w:val="17"/>
          <w:szCs w:val="17"/>
          <w:color w:val="auto"/>
        </w:rPr>
      </w:pPr>
    </w:p>
    <w:p>
      <w:pPr>
        <w:ind w:left="1200" w:right="60" w:hanging="449"/>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78"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patent protection, we also rely upon copyright and trade secret protection, unpatented know-how and continuing technological innovation to develop and maintain our competitive position, which we seek to protect through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trade secrets may be independently developed by others in a manner that could prevent legal recourse by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infringement of our foreign patents,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8" w:name="page39"/>
    <w:bookmarkEnd w:id="38"/>
    <w:p>
      <w:pPr>
        <w:ind w:right="40"/>
        <w:spacing w:after="0" w:line="259"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sometimes unpredictable.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including studies we commission or reports on the efficacy of our products.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patent rights may be affected by developments or uncertainty in the patent statute, patent case law or USPTO rules and regulations. There are a number of recent changes to the patent laws that may have a significant impact on our ability to protect our technology and enforce our intellectual property rights. For example, the United States has enacted and is currently implementing the America Invents Act of 2011, a wide-ranging patent reform legislation. These changes include provisions that affect the way patent applications will be prosecuted and may also affect patent litigation. As an example, the first to file provisions, which became effective March 2013, mean that the party that is first to file in the United States generally is awarded the patent rights, regardless of who invented first. This could have a negative impact on some of our IP and could increase uncertainties surrounding obtaining and enforcement or defense of our issued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or future patents.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20"/>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license certain intellectual property, and in the future, we may enter into additional agreements that provide us with licenses to valuable intellectual property or technology. These licenses impose various payment obligations on us. If we fail to comply with any of these obligations, we may be required to pay damages and the licensor may have the right to terminate the license. Termination by the licensor could cause us to lose valuable rights, and could prevent us from distributing our products, or inhibit our ability to commercialize future products. Our business could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w:t>
      </w:r>
    </w:p>
    <w:p>
      <w:pPr>
        <w:spacing w:after="0" w:line="2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200" w:right="420" w:hanging="449"/>
        <w:spacing w:after="0" w:line="312"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38" w:lineRule="exact"/>
        <w:rPr>
          <w:rFonts w:ascii="Arial" w:cs="Arial" w:eastAsia="Arial" w:hAnsi="Arial"/>
          <w:sz w:val="16"/>
          <w:szCs w:val="16"/>
          <w:color w:val="auto"/>
        </w:rPr>
      </w:pPr>
    </w:p>
    <w:p>
      <w:pPr>
        <w:ind w:left="1200" w:right="320" w:hanging="44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62" w:lineRule="exact"/>
        <w:rPr>
          <w:rFonts w:ascii="Arial" w:cs="Arial" w:eastAsia="Arial" w:hAnsi="Arial"/>
          <w:sz w:val="18"/>
          <w:szCs w:val="18"/>
          <w:color w:val="auto"/>
        </w:rPr>
      </w:pPr>
    </w:p>
    <w:p>
      <w:pPr>
        <w:ind w:left="1200" w:right="500" w:hanging="449"/>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200" w:hanging="449"/>
        <w:spacing w:after="0" w:line="264"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1200" w:right="180" w:hanging="449"/>
        <w:spacing w:after="0" w:line="342"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200" w:right="940" w:hanging="44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200" w:hanging="44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00" w:right="20" w:hanging="449"/>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trademarks or trade names may be challenged, infringed, circumvented or declared generic or descriptive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6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receive the necessary clearances or approvals for our future products, and failure to timely obtain necessary clearances or approvals for our future products would adversely affect our ability to grow our business.</w:t>
      </w:r>
    </w:p>
    <w:p>
      <w:pPr>
        <w:spacing w:after="0" w:line="6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An element of our strategy is to continue to upgrade our products, add new features and expand clearance or approval of our current products to new indications. In the United States,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Our ability to successfully obtain clearance for any new indications will be dependent on us submitting data as to the successful completion of clinical trials evidencing safety and efficacy.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the applicant will then receive authorization to market the device. This device type can then be used as a predicate device for future 510(k) submissions. We initially received marketing authorization of our device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and we have made changes to our system through subsequent 510(k) clearances. The process of obtaining regulatory clearances or approvals, or completing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market a medical device can be costly and time consuming, and we may not be able to successfully obtain pre-market reviews on a timely basis, if at all.</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Modifications to products that are approved through a PMA application generally require FDA approval. Similarly, certain modifications made to products cleared through a 510(k) or authorized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may require a new 510(k) clearance. Each of the PMA approval,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the 510(k) clearance processes can be expensive, lengthy and uncertain. The FDA’s 510(k) clearance process usually takes from three to 12 months but can last longer. The process of obtaining a PMA is much costlier and more uncertain than the 510(k) clearance process and generally takes from one to three years, or even longer, from the time the application is filed with the FDA. In addition, a PMA generally requires the performance of one or more clinical trials.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approvals or clearances could harm our business. Furthermore, even if we are granted regulatory clearances or approvals, they may include significant limitations on the indicated uses for the device, which may limit the market for the device.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ind w:right="60"/>
        <w:spacing w:after="0" w:line="286" w:lineRule="auto"/>
        <w:rPr>
          <w:sz w:val="20"/>
          <w:szCs w:val="20"/>
          <w:color w:val="auto"/>
        </w:rPr>
      </w:pPr>
      <w:r>
        <w:rPr>
          <w:rFonts w:ascii="Arial" w:cs="Arial" w:eastAsia="Arial" w:hAnsi="Arial"/>
          <w:sz w:val="16"/>
          <w:szCs w:val="16"/>
          <w:color w:val="auto"/>
        </w:rPr>
        <w:t xml:space="preserve">Even if granted, a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PMA approval imposes substantial restrictions on how our devices may be marketed or sold, and the FDA continues to place considerable restrictions on our products and operations. For example, the manufacture of medical devices must comply with the FDA’s Quality System Regulation, or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detention or seizure of our products; operating restrictions or partial suspension or total shutdown of production; refusing or delaying requests for 510(k) marketing clearance or PMA approvals of new products or modified products; withdrawing 510(k) marketing clearances or PMA approvals that have already been granted; refusing to provide Certificates for Foreign Government; refusing to grant export approval for our products; or pursuing criminal prosecution. Any of these sanctions could impair our ability to produce our products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sales and our ability to generate profits.</w:t>
      </w:r>
    </w:p>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order to sell our products in member countries of the European Economic Area, or EEA, our products must comply with the essential requirements of the EU Medical Devices Directive (Council Directive 93/42/EEC).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or our distributors will also need to obtain regulatory approval in other foreign jurisdictions in which we plan to market and sell our products, and we or they may not obtain such approvals as necessary to commercialize our products in those territories.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 approvals, and may require us to cease marketing or recall the modified products until clearances are obtained.</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Any modification to a 510(k)-cleared product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features in the future that we believe do not require a new 510(k) clearance or approval of a PMA. If the FDA disagrees with our determination and requires us to submit new 510(k) notifications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or 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or our employees.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Any of these actions could significantly and negatively impact supply of our products. If any of these events occurs, our reputation could be harmed, we could be exposed to product liability claims and we could lose customers and suffer reduced revenues and increased costs.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treatment guidelines for the psychiatric conditions we are targeting change or the standard of care evolves, we may need to redesign and seek new marketing authorization from the FDA for one or more of our products.</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treatment guidelines for the psychiatric conditions we are targeting or the standard of care for such conditions evolves, we may need to redesign the applicable product and seek new clearances or approvals from the FDA. Our 510(k)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29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product has been authorized for marketing by the FDA for a specific indication. We train our commercial organization and distributors outside the United States to not promote our products for uses outside of the FDA-cleared indications for use, known as “off-label uses.” We cannot, however, prevent a psychiatrist from using our products off-label, when in the psychiatrist’s independent professional medical judgment, he or she deems it appropriate. There may be increased risk of injury to patients if psychiatrists attempt to use our products off-label. Furthermore, the use of our products for indications other than those cleared by the FDA or approved by any foreign regulatory body may not effectively treat such conditions, which could harm our reputation in the marketplace among psychiatrists and patients.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w:t>
      </w:r>
    </w:p>
    <w:p>
      <w:pPr>
        <w:spacing w:after="0" w:line="295"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Any adverse event involving our products could result in voluntary corrective actions, such as recalls or customer notifications, or agency action, such as inspection, mandatory recall or other enforcement action. Any corrective action, whether voluntary or involuntary, as well as defending ourselves in a lawsuit, would require the dedication of our time and capital, distract management from operating our business and may harm our reputation and financial results.</w:t>
      </w: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17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patients and third-party payors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63" w:lineRule="exact"/>
        <w:rPr>
          <w:sz w:val="20"/>
          <w:szCs w:val="20"/>
          <w:color w:val="auto"/>
        </w:rPr>
      </w:pPr>
    </w:p>
    <w:p>
      <w:pPr>
        <w:ind w:left="1200" w:right="20" w:hanging="449"/>
        <w:spacing w:after="0" w:line="271"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 good or service, for which payment may be made, in whole or in part, under federal healthcare programs, such as Medicare and Medicaid. The term “remuneration” has been broadly interpreted to include anything of value. The intent standard under the federal Anti-Kickback Statute was amended by the PPACA, to a stricter standard such that a person or entity no longer needs to have actual knowledge of the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w:t>
      </w:r>
    </w:p>
    <w:p>
      <w:pPr>
        <w:spacing w:after="0" w:line="70" w:lineRule="exact"/>
        <w:rPr>
          <w:rFonts w:ascii="Arial" w:cs="Arial" w:eastAsia="Arial" w:hAnsi="Arial"/>
          <w:sz w:val="17"/>
          <w:szCs w:val="17"/>
          <w:color w:val="auto"/>
        </w:rPr>
      </w:pPr>
    </w:p>
    <w:p>
      <w:pPr>
        <w:ind w:left="1200" w:hanging="449"/>
        <w:spacing w:after="0" w:line="287"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penalties laws, including the federal civil False Claims Act, which prohibit, among other things, individuals or entities from knowingly presenting, or causing to be presented, false, fictitious or fraudulent claims for payment from Medicare, Medicaid or other federal healthcare programs, and knowingly making, using or causing to be made or used a false record or statement material to a false or fraudulent claim to avoid, decrease or conceal an obligation to pay money to the federal government. Private individuals can bring federal civil False Claims Act “qui tam” actions, on behalf of the government and such individuals, commonly known as “whistleblowers,” and may share in amounts paid by the entity to the government in fines or settlement. Companies have been prosecuted under the federal civil False Claims Act in connection with alleged off-label promotion of devices and allegedly providing free products to customers with the expectation that the customers would bill federal health care programs for the product. As a result of a modification made by the Fraud Enforcement and Recovery Act of 2009, a claim includes “any request or demand” for money or property presented to the U.S. government. In addition, manufacturers can be held liable under the federal civil False Claims Act even when they do not submit claims directly to government payors if they are deemed to “cause” the submission of false or fraudulent claims;</w:t>
      </w:r>
    </w:p>
    <w:p>
      <w:pPr>
        <w:spacing w:after="0" w:line="64" w:lineRule="exact"/>
        <w:rPr>
          <w:rFonts w:ascii="Arial" w:cs="Arial" w:eastAsia="Arial" w:hAnsi="Arial"/>
          <w:sz w:val="16"/>
          <w:szCs w:val="16"/>
          <w:color w:val="auto"/>
        </w:rPr>
      </w:pPr>
    </w:p>
    <w:p>
      <w:pPr>
        <w:ind w:left="1200" w:right="100" w:hanging="449"/>
        <w:spacing w:after="0" w:line="291"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59" w:lineRule="exact"/>
        <w:rPr>
          <w:rFonts w:ascii="Arial" w:cs="Arial" w:eastAsia="Arial" w:hAnsi="Arial"/>
          <w:sz w:val="16"/>
          <w:szCs w:val="16"/>
          <w:color w:val="auto"/>
        </w:rPr>
      </w:pPr>
    </w:p>
    <w:p>
      <w:pPr>
        <w:ind w:left="1200" w:right="80" w:hanging="449"/>
        <w:spacing w:after="0" w:line="276"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Physician Payments Sunshine Act under the PPACA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left="1200" w:hanging="449"/>
        <w:spacing w:after="0" w:line="288"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in the United States (such as the European Union, which adopted the General Data Protection Regulation, which became effective in May 2018);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psychiatrists or other potential purchasers of our products. We have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disgorgement, exclusion from participation in government healthcare programs, such as Medicare and Medicaid, imprisonment, additional reporting obligations and oversight if we becomes subject to a corporate integrity agreement or other agreement to resolve allegations of non-compliance with these laws, reputational harm, diminished profits and future earnings, and the curtailment or restructuring of our operations, any of which could adversely affect our ability to operate our business and pursue our strategy.</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8" w:name="page49"/>
    <w:bookmarkEnd w:id="48"/>
    <w:p>
      <w:pPr>
        <w:ind w:right="40"/>
        <w:spacing w:after="0" w:line="277" w:lineRule="auto"/>
        <w:rPr>
          <w:sz w:val="20"/>
          <w:szCs w:val="20"/>
          <w:color w:val="auto"/>
        </w:rPr>
      </w:pPr>
      <w:r>
        <w:rPr>
          <w:rFonts w:ascii="Arial" w:cs="Arial" w:eastAsia="Arial" w:hAnsi="Arial"/>
          <w:sz w:val="18"/>
          <w:szCs w:val="18"/>
          <w:color w:val="auto"/>
        </w:rPr>
        <w:t>For example, in March 2010, the PPACA was enacted in the United States, which made a number of substantial changes in the way healthcare is financed by both governmental and private insurers. Among other ways in which it may impact our business, the PPACA:</w:t>
      </w:r>
    </w:p>
    <w:p>
      <w:pPr>
        <w:spacing w:after="0" w:line="62" w:lineRule="exact"/>
        <w:rPr>
          <w:sz w:val="20"/>
          <w:szCs w:val="20"/>
          <w:color w:val="auto"/>
        </w:rPr>
      </w:pPr>
    </w:p>
    <w:p>
      <w:pPr>
        <w:ind w:left="1200" w:right="140" w:hanging="449"/>
        <w:spacing w:after="0" w:line="302"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46" w:lineRule="exact"/>
        <w:rPr>
          <w:rFonts w:ascii="Arial" w:cs="Arial" w:eastAsia="Arial" w:hAnsi="Arial"/>
          <w:sz w:val="16"/>
          <w:szCs w:val="16"/>
          <w:color w:val="auto"/>
        </w:rPr>
      </w:pPr>
    </w:p>
    <w:p>
      <w:pPr>
        <w:ind w:left="1200" w:right="480" w:hanging="449"/>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62" w:lineRule="exact"/>
        <w:rPr>
          <w:rFonts w:ascii="Arial" w:cs="Arial" w:eastAsia="Arial" w:hAnsi="Arial"/>
          <w:sz w:val="18"/>
          <w:szCs w:val="18"/>
          <w:color w:val="auto"/>
        </w:rPr>
      </w:pPr>
    </w:p>
    <w:p>
      <w:pPr>
        <w:ind w:left="1200" w:right="60" w:hanging="449"/>
        <w:spacing w:after="0" w:line="342"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psychiatrists and other providers to improve the coordination, quality and efficiency of certain healthcare services through bundled payment models; and</w:t>
      </w:r>
    </w:p>
    <w:p>
      <w:pPr>
        <w:spacing w:after="0" w:line="15" w:lineRule="exact"/>
        <w:rPr>
          <w:rFonts w:ascii="Arial" w:cs="Arial" w:eastAsia="Arial" w:hAnsi="Arial"/>
          <w:sz w:val="16"/>
          <w:szCs w:val="16"/>
          <w:color w:val="auto"/>
        </w:rPr>
      </w:pPr>
    </w:p>
    <w:p>
      <w:pPr>
        <w:ind w:left="1200" w:hanging="449"/>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to raise additional capital to fund our existing commercial operations, develop and commercialize new products and expand our operations.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our available cash balances, potential future borrowing capacity, and anticipated cash flow from operations are insufficient to satisfy our liquidity requirements, including because of lower demand for our products as a result of the risks described in this Annual Report on Form 10-K, we may seek to sell common or preferred equity or debt securities, enter into an additional credit facility or another form of third-party funding or seek other debt financing. Our present and future funding requirements will depend on many other factors, including:</w:t>
      </w:r>
    </w:p>
    <w:p>
      <w:pPr>
        <w:spacing w:after="0" w:line="79" w:lineRule="exact"/>
        <w:rPr>
          <w:sz w:val="20"/>
          <w:szCs w:val="20"/>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17" w:lineRule="exact"/>
        <w:rPr>
          <w:rFonts w:ascii="Arial" w:cs="Arial" w:eastAsia="Arial" w:hAnsi="Arial"/>
          <w:sz w:val="18"/>
          <w:szCs w:val="18"/>
          <w:color w:val="auto"/>
        </w:rPr>
      </w:pPr>
    </w:p>
    <w:p>
      <w:pPr>
        <w:ind w:left="1200" w:right="260" w:hanging="44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17" w:lineRule="exact"/>
        <w:rPr>
          <w:rFonts w:ascii="Arial" w:cs="Arial" w:eastAsia="Arial" w:hAnsi="Arial"/>
          <w:sz w:val="18"/>
          <w:szCs w:val="18"/>
          <w:color w:val="auto"/>
        </w:rPr>
      </w:pPr>
    </w:p>
    <w:p>
      <w:pPr>
        <w:ind w:left="1200" w:right="140" w:hanging="449"/>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9" w:name="page50"/>
    <w:bookmarkEnd w:id="49"/>
    <w:p>
      <w:pPr>
        <w:ind w:right="800"/>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62" w:lineRule="exact"/>
        <w:rPr>
          <w:sz w:val="20"/>
          <w:szCs w:val="20"/>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our sales and marketing efforts to increase market adoption of our products and address competitive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 development and marketing efforts of any future products or additional features to then-current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license or invest in new technologies;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supply and inventory costs associated with plans to accommodate potential increases in demand for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 capital may not be available to us at such times or in the amounts we need. Even if capital is available, it might be available only on unfavorable terms. Any issuance of additional equity or equity-linked securities could be dilutive to our existing stockholders,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pay dividends, repurchase our stock, make investments and engage in merger, consolidation or asset sale transactions. If we raise additional funds through collaboration and licensing arrangements with third parties, it may be necessary to relinquish or license some rights to our technologies or products, on terms that are not favorable to us. If access to sufficient capital is not available as and when needed, our business will be materially impaired and we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2019 and 2018, we had federal and state net operating loss carryforwards of $55.0 million and $46.4 million, respectively. The federal and state net operating loss carryforwards will begin to expire, if not utilized, beginning in 2023 and 2020, respectively.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2020, we entered into a $50.0 million credit facility with Solar Capital Ltd., or Solar, that is secured by a lien covering substantially all of our assets. The credit facility contains customary covenants and events of default applicable to us. The affirmative covenants include, among others, a covenant that requires us to achieve agreed amounts of trailing twelve month net product revenue, measured monthly through the term of the credit facility. The negative covenants include, among others, restrictions on us transferring collateral, changing businesses, engaging in mergers or acquisitions, incurring additional indebtedness and encumbering collateral. If we default under the credit facility, Solar may accelerate all of our repayment obligations and take control of our pledged assets, potentially requiring us to renegotiate our agreement on terms less favorable to us or to immediately cease operations. Further, if we are liquidated, Solar’s right to repayment would be senior to the rights of the holders of our common stock to receive any proceeds from the liquidation. Solar could declare a default upon the occurrence of any event that it interprets as a material adverse effect as defined under the credit facility, thereby requiring us to repay the loan immediately or to attempt to reverse the declaration of default through negotiation or litigation. Any declaration by Solar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38" w:lineRule="exact"/>
        <w:rPr>
          <w:sz w:val="20"/>
          <w:szCs w:val="20"/>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or anticipated fluctuations in our financial condition and operating results;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or anticipated changes in our growth rate;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commercial success and market acceptance of our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competitors in developing or commercializing products;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media exposure of our products or of those of others in our industry;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commercialize or obtain regulatory approvals for our products, or delays in commercializing or obtaining regulatory approvals;</w:t>
      </w:r>
    </w:p>
    <w:p>
      <w:pPr>
        <w:spacing w:after="0" w:line="140" w:lineRule="exact"/>
        <w:rPr>
          <w:rFonts w:ascii="Arial" w:cs="Arial" w:eastAsia="Arial" w:hAnsi="Arial"/>
          <w:sz w:val="16"/>
          <w:szCs w:val="16"/>
          <w:color w:val="auto"/>
        </w:rPr>
      </w:pPr>
    </w:p>
    <w:p>
      <w:pPr>
        <w:ind w:left="1200" w:right="840" w:hanging="44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7" w:lineRule="exact"/>
        <w:rPr>
          <w:rFonts w:ascii="Arial" w:cs="Arial" w:eastAsia="Arial" w:hAnsi="Arial"/>
          <w:sz w:val="18"/>
          <w:szCs w:val="18"/>
          <w:color w:val="auto"/>
        </w:rPr>
      </w:pPr>
    </w:p>
    <w:p>
      <w:pPr>
        <w:ind w:left="1200" w:right="480" w:hanging="449"/>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prevailing economic, industry and market conditions, including factors unrelated to our operating performance or the operating performance of our competitors;</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disruptions caused by earthquakes, fires, pandemic diseases (such as from coronavirus), or other natural disasters;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or other proprietary rights, including 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U.S. or foreign regulatory actions affecting us or the healthcare or medical device industry;</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healthcare reform measures in the United States;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third-party payor developments in the United States and other countries;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our directors, officers, or stockholders;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in general, and the markets for companies like ours in particular, have from time to time experienced extreme volatility that has been often unrelated to the operating performance of the company. These broad market and industry fluctuations may negatively impact the price or liquidity of our common stock, regardless of our operating performance.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could make our common stock less attractive to investors.</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an “emerging growth company,” as defined in the JOBS Act. We may remain an emerging growth company until as late as December 31, 2023, though we may cease to be an emerging growth company earlier under certain circumstances, including (i) if the market value of our common stock that is held by non-affiliates exceeds $700 million as of any June 30, in which case we would cease to be an emerging growth company as of the following December 31, or (ii) if our gross revenues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2" w:name="page53"/>
    <w:bookmarkEnd w:id="52"/>
    <w:p>
      <w:pPr>
        <w:ind w:right="200"/>
        <w:spacing w:after="0" w:line="276"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are choosing not to “opt out” of such extended transition period, and as a result, we will not comply with new or revised accounting standards on the relevant dates on which adoption of such standards is required for non-emerging growth companies.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or securities convertible or exchangeable for our common stock may cause our stock price to decline.</w:t>
      </w:r>
    </w:p>
    <w:p>
      <w:pPr>
        <w:spacing w:after="0" w:line="1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If our stockholders or option holders sell, or indicate an intention to sell, substantial amounts of our common stock in the public market, the price of our common stock could decline. The perception in the market that these sales may occur could also cause the price of our common stock to decline.</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Shares of common stock that are either subject to outstanding options, or are outstanding but subject to vesting or reserved for future issuance under our 2018 Equity Incentive Plan, or the 2018 Plan, will become eligible for sale in the public market to the extent permitted by the provisions of various vesting schedules, Rule 144 and Rule 701 under the Securities Act. We have also filed a registration statement permitting certain shares of common stock issued under our 2003 Stock Incentive Plan, or the 2003 Plan, and shares of common stock issued pursuant to the 2018 Plan or our 2018 Employee Stock Purchase Plan, or the 2018 ESPP, to be freely resold by plan participants in the public market, subject to applicable vesting schedules and, for shares held by directors, executive officers and other affiliates, volume limitations under Rule 144 under the Securities Act. Both the 2018 Plan and the 2018 ESPP contain provisions for the annual increase of the number of shares reserved for issuance under such plans, which shares we also intend to register. If the shares we may issue from time to time under the 2003 Plan, the 2018 Plan or the 2018 ESPP are sold, or if it is perceived that they will be sold, by the award recipients in the public market, the price of our common stock could decline.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11,099,375 shares of common stock are entitled to rights with respect to registration under the Securities Act. Such registration would result in these shares becoming fully tradable without restriction under the Securities Act when the applicable registration statement is declared effective. Sales of such shares could cause the price of our common stock to decline.</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control over matters subject to stockholder approval.</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of February 29, 2020, our officers and directors, together with holders of 5% or more of our outstanding common stock and their respective affiliates, beneficially owned approximately 35.0% of our outstanding common stock. Accordingly, these stockholders have a material influence over the outcome of corporate actions requiring stockholder approval, including the election of directors, mergers,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spacing w:after="0" w:line="308" w:lineRule="auto"/>
        <w:rPr>
          <w:sz w:val="20"/>
          <w:szCs w:val="20"/>
          <w:color w:val="auto"/>
        </w:rPr>
      </w:pPr>
      <w:r>
        <w:rPr>
          <w:rFonts w:ascii="Arial" w:cs="Arial" w:eastAsia="Arial" w:hAnsi="Arial"/>
          <w:sz w:val="17"/>
          <w:szCs w:val="17"/>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the value of our common stock.</w:t>
      </w:r>
    </w:p>
    <w:p>
      <w:pPr>
        <w:spacing w:after="0" w:line="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public company, the Sarbanes-Oxley Act requires that we maintain effective disclosure controls and procedures and internal control over financial reporting. We have developed disclosure controls and other procedures that are designed to ensure that information required to be disclosed by us in the reports that we file with the SEC is recorded, processed, summarized and reported within the time periods specified in SEC rules and regulations, and that information required to be disclosed in reports under the Exchange Act, is communicated to our principal executive and financial officers. Our current controls and any new controls that we develop may become inadequate and weaknesses in our internal control over financial reporting may be discovered in the future. We believe that any disclosure controls and procedures, no matter how well conceived and operated, can provide only reasonable, not absolute, assurance that the objectives of the control system are met. 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Any failure to maintain effective controls could negatively impact the results of periodic management evaluations and annual independent registered public accounting firm attestation reports regarding the effectiveness of our internal control over financial reporting that we will be required to include in periodic reports we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the Nasdaq Global Market.</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until the later of our second annual report or the first annual report we are required to file with the SEC following the date we are no longer an “emerging growth company,” as defined in the JOBS Act, depending on whether we choose to rely on certain exemptions set forth in the JOBS Act.</w:t>
      </w: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of our amended and restated charter documents or Delaware law could delay or prevent an acquisition of the company, even if the acquisition would be beneficial to our stockholders, which could make it more difficult for you to change management.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9" w:lineRule="exact"/>
        <w:rPr>
          <w:sz w:val="20"/>
          <w:szCs w:val="20"/>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200" w:right="520" w:hanging="44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w:t>
      </w:r>
    </w:p>
    <w:p>
      <w:pPr>
        <w:spacing w:after="0" w:line="62" w:lineRule="exact"/>
        <w:rPr>
          <w:rFonts w:ascii="Arial" w:cs="Arial" w:eastAsia="Arial" w:hAnsi="Arial"/>
          <w:sz w:val="18"/>
          <w:szCs w:val="18"/>
          <w:color w:val="auto"/>
        </w:rPr>
      </w:pPr>
    </w:p>
    <w:p>
      <w:pPr>
        <w:ind w:left="1200" w:right="140" w:hanging="44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authority of our board of directors to issue blank-check preferred stock with such terms as our board of directors may determine; and</w:t>
      </w:r>
    </w:p>
    <w:p>
      <w:pPr>
        <w:spacing w:after="0" w:line="140" w:lineRule="exact"/>
        <w:rPr>
          <w:rFonts w:ascii="Arial" w:cs="Arial" w:eastAsia="Arial" w:hAnsi="Arial"/>
          <w:sz w:val="16"/>
          <w:szCs w:val="16"/>
          <w:color w:val="auto"/>
        </w:rPr>
      </w:pPr>
    </w:p>
    <w:p>
      <w:pPr>
        <w:ind w:left="1200" w:right="420" w:hanging="449"/>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Delaware law may discourage, delay or prevent a change in control of our company.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Provisions in our charter documents and other provisions of Delaware law could limit the price that investors are willing to pay in the future for shares of our common stock.</w:t>
      </w:r>
    </w:p>
    <w:p>
      <w:pPr>
        <w:spacing w:after="0" w:line="27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the Court of Chancery of the State of Delaware is the exclusive forum for (i) any derivative action or proceeding brought on our behalf, other than an action or suit to enforce a duty or liability created by the Exchange Act or any other claim for which the federal courts have exclusive jurisdiction,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never declared or paid any cash dividends on our common stock and do not intend to do so in the foreseeable future. We currently intend to retain all available funds and any future earnings to finance the growth and development of our business. In addition, the terms of our credit agreements contain, and the terms of any future credit agreements we may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2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stock price and trading volume could decline.</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and our business. We do not have any control over these analysts. If one or more of the analysts who cover us downgrade our common stock or change their opinion of our common stock, our stock price would likely decline. If one or more of these analysts cease to cover us or fail to regularly publish reports on us, we could lose visibility in the financial markets, which could cause our stock price or trading volume to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5" w:name="page56"/>
    <w:bookmarkEnd w:id="55"/>
    <w:p>
      <w:pPr>
        <w:spacing w:after="0"/>
        <w:tabs>
          <w:tab w:leader="none" w:pos="17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occupy an approximately 42,500 square foot facility in Malvern, Pennsylvania, under a lease that ends in February 2028, for our corporate headquarters, which includes office and warehouse space. We have an option to extend the lease for an additional five-year term. We believe that our existing facilities are adequate to meet our needs for the foreseeable future.</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common stock has been publicly traded on the Nasdaq Global Market under the symbol “STIM” since June 28, 2018. Prior to that time, there was no public market for our common stock. The shares of our common stock sold in our IPO on June 27, 2018 were priced at $17.00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29, 2020, there were approximately 72 holders of record of our common stock, solely based upon the count our transfer agent provided to us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never declared or paid, and do not anticipate declaring or paying, in the foreseeable future, any cash dividends on our common stock. We currently intend to retain all available funds and any future earnings to support our operations and finance the growth and development of our business. In addition, under the terms of our loan and security agreement with Solar, we may not declare or pay any cash dividends or distributions, subject to certain exceptions, without the consent of Solar. Any future determination related to our dividend policy will be made at the discretion of our board of directors and will depend upon, among other factors, our results of operations, financial condition, capital requirements, the consent of Solar, other contractual restrictions, business prospects and other factors our board of directors may deem relevant.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information regarding our existing equity compensation plans as of December 31, 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Upon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Price of</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reflected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Warrants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Column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Equity compensation plans approved by security</w:t>
            </w:r>
          </w:p>
        </w:tc>
        <w:tc>
          <w:tcPr>
            <w:tcW w:w="1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gridSpan w:val="2"/>
            <w:shd w:val="clear" w:color="auto" w:fill="CFF0FC"/>
          </w:tcPr>
          <w:p>
            <w:pPr>
              <w:jc w:val="right"/>
              <w:ind w:right="4840"/>
              <w:spacing w:after="0"/>
              <w:rPr>
                <w:sz w:val="20"/>
                <w:szCs w:val="20"/>
                <w:color w:val="auto"/>
              </w:rPr>
            </w:pPr>
            <w:r>
              <w:rPr>
                <w:rFonts w:ascii="Arial" w:cs="Arial" w:eastAsia="Arial" w:hAnsi="Arial"/>
                <w:sz w:val="16"/>
                <w:szCs w:val="16"/>
                <w:color w:val="auto"/>
              </w:rPr>
              <w:t>holders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FF0FC"/>
            </w:tcBorders>
            <w:gridSpan w:val="2"/>
          </w:tcPr>
          <w:p>
            <w:pPr>
              <w:jc w:val="right"/>
              <w:ind w:right="4840"/>
              <w:spacing w:after="0"/>
              <w:rPr>
                <w:sz w:val="20"/>
                <w:szCs w:val="20"/>
                <w:color w:val="auto"/>
              </w:rPr>
            </w:pPr>
            <w:r>
              <w:rPr>
                <w:rFonts w:ascii="Arial" w:cs="Arial" w:eastAsia="Arial" w:hAnsi="Arial"/>
                <w:sz w:val="16"/>
                <w:szCs w:val="16"/>
                <w:color w:val="auto"/>
              </w:rPr>
              <w:t>holders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FF0FC"/>
            </w:tcBorders>
            <w:gridSpan w:val="2"/>
            <w:shd w:val="clear" w:color="auto" w:fill="CFF0FC"/>
          </w:tcPr>
          <w:p>
            <w:pPr>
              <w:jc w:val="right"/>
              <w:ind w:right="4820"/>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See “Item 15. Exhibits and Financial Statement Schedules — Notes to Financial Statements — Note 14. Share-Based Compensation and Note 15. Employee Benefit Plans” for additional information on compensation plans under which equity securities of the registrant are authorized for issuance without the approval of stockholders.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57" w:name="page58"/>
    <w:bookmarkEnd w:id="57"/>
    <w:p>
      <w:pPr>
        <w:spacing w:after="0"/>
        <w:tabs>
          <w:tab w:leader="none" w:pos="1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tables set forth, for the periods and as of the dates indicated, our selected historical financial data. The statements of operations data for the years ended December 31, 2019, 2018, and 2017 and the balance sheet data as of December 31, 2019 and 2018 are derived from our audited financial statements appearing at the end of this Annual Report on Form 10-K. The balance sheet data as of December 31, 2017 is derived from audited financial statements that do not appear at the end of this Annual Report on Form 10-K. You should read this data together with the more detailed information contained in our audited financial statements and the related notes thereto and in “Management’s Discussion and Analysis of Financial Condition and Results of Operations” included elsewhere in this Annual Report on Form 10-K. Our historical results are not necessarily indicative of the results that should be expected in the future.</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40"/>
              <w:spacing w:after="0"/>
              <w:rPr>
                <w:sz w:val="20"/>
                <w:szCs w:val="20"/>
                <w:color w:val="auto"/>
              </w:rPr>
            </w:pPr>
            <w:r>
              <w:rPr>
                <w:rFonts w:ascii="Arial" w:cs="Arial" w:eastAsia="Arial" w:hAnsi="Arial"/>
                <w:sz w:val="14"/>
                <w:szCs w:val="14"/>
                <w:b w:val="1"/>
                <w:bCs w:val="1"/>
                <w:color w:val="auto"/>
                <w:w w:val="90"/>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0"/>
              </w:rPr>
              <w:t>Statements of Operations Data:</w:t>
            </w:r>
          </w:p>
        </w:tc>
        <w:tc>
          <w:tcPr>
            <w:tcW w:w="20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Revenues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62,656</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52,776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bottom w:val="single" w:sz="8" w:color="CFF0FC"/>
            </w:tcBorders>
            <w:gridSpan w:val="3"/>
          </w:tcPr>
          <w:p>
            <w:pPr>
              <w:ind w:left="72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47,267</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24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bottom w:val="single" w:sz="8" w:color="CFF0FC"/>
            </w:tcBorders>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1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13,747</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1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74,197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3"/>
          </w:tcPr>
          <w:p>
            <w:pPr>
              <w:ind w:left="720"/>
              <w:spacing w:after="0"/>
              <w:rPr>
                <w:sz w:val="20"/>
                <w:szCs w:val="20"/>
                <w:color w:val="auto"/>
              </w:rPr>
            </w:pPr>
            <w:r>
              <w:rPr>
                <w:rFonts w:ascii="Arial" w:cs="Arial" w:eastAsia="Arial" w:hAnsi="Arial"/>
                <w:sz w:val="16"/>
                <w:szCs w:val="16"/>
                <w:color w:val="auto"/>
              </w:rPr>
              <w:t>Loss from Operations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(26,930)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(19,834)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240"/>
              <w:spacing w:after="0"/>
              <w:rPr>
                <w:sz w:val="20"/>
                <w:szCs w:val="20"/>
                <w:color w:val="auto"/>
              </w:rPr>
            </w:pPr>
            <w:r>
              <w:rPr>
                <w:rFonts w:ascii="Arial" w:cs="Arial" w:eastAsia="Arial" w:hAnsi="Arial"/>
                <w:sz w:val="16"/>
                <w:szCs w:val="16"/>
                <w:color w:val="auto"/>
              </w:rPr>
              <w:t>Interest expense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gridSpan w:val="3"/>
            <w:vMerge w:val="restart"/>
          </w:tcPr>
          <w:p>
            <w:pPr>
              <w:ind w:left="720"/>
              <w:spacing w:after="0"/>
              <w:rPr>
                <w:sz w:val="20"/>
                <w:szCs w:val="20"/>
                <w:color w:val="auto"/>
              </w:rPr>
            </w:pPr>
            <w:r>
              <w:rPr>
                <w:rFonts w:ascii="Arial" w:cs="Arial" w:eastAsia="Arial" w:hAnsi="Arial"/>
                <w:sz w:val="16"/>
                <w:szCs w:val="16"/>
                <w:color w:val="auto"/>
              </w:rPr>
              <w:t>Net Loss</w:t>
            </w: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260" w:type="dxa"/>
            <w:vAlign w:val="bottom"/>
            <w:gridSpan w:val="3"/>
            <w:vMerge w:val="continue"/>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(29,044)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(24,097)</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Net loss per share of common stock outstanding,</w:t>
            </w:r>
          </w:p>
        </w:tc>
        <w:tc>
          <w:tcPr>
            <w:tcW w:w="1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basic and diluted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gridSpan w:val="4"/>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basic and diluted</w:t>
            </w:r>
          </w:p>
        </w:tc>
        <w:tc>
          <w:tcPr>
            <w:tcW w:w="1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Balance Sheet Data:</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Cash and cash equivalents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75,708</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104,583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Total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Current portion of 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Long-term debt,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4"/>
          </w:tcPr>
          <w:p>
            <w:pPr>
              <w:spacing w:after="0"/>
              <w:rPr>
                <w:sz w:val="20"/>
                <w:szCs w:val="20"/>
                <w:color w:val="auto"/>
              </w:rPr>
            </w:pPr>
            <w:r>
              <w:rPr>
                <w:rFonts w:ascii="Arial" w:cs="Arial" w:eastAsia="Arial" w:hAnsi="Arial"/>
                <w:sz w:val="16"/>
                <w:szCs w:val="16"/>
                <w:color w:val="auto"/>
              </w:rPr>
              <w:t>Convertible preferred stock</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(250,087)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(221,043)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(196,946)</w:t>
            </w:r>
          </w:p>
        </w:tc>
        <w:tc>
          <w:tcPr>
            <w:tcW w:w="0" w:type="dxa"/>
            <w:vAlign w:val="bottom"/>
          </w:tcPr>
          <w:p>
            <w:pPr>
              <w:spacing w:after="0"/>
              <w:rPr>
                <w:sz w:val="1"/>
                <w:szCs w:val="1"/>
                <w:color w:val="auto"/>
              </w:rPr>
            </w:pPr>
          </w:p>
        </w:tc>
      </w:tr>
      <w:tr>
        <w:trPr>
          <w:trHeight w:val="210"/>
        </w:trPr>
        <w:tc>
          <w:tcPr>
            <w:tcW w:w="4280" w:type="dxa"/>
            <w:vAlign w:val="bottom"/>
            <w:gridSpan w:val="4"/>
          </w:tcPr>
          <w:p>
            <w:pPr>
              <w:spacing w:after="0"/>
              <w:rPr>
                <w:sz w:val="20"/>
                <w:szCs w:val="20"/>
                <w:color w:val="auto"/>
              </w:rPr>
            </w:pPr>
            <w:r>
              <w:rPr>
                <w:rFonts w:ascii="Arial" w:cs="Arial" w:eastAsia="Arial" w:hAnsi="Arial"/>
                <w:sz w:val="16"/>
                <w:szCs w:val="16"/>
                <w:color w:val="auto"/>
              </w:rPr>
              <w:t>Total stockholders’ equity (deficit)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(192,652)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 w:name="page59"/>
    <w:bookmarkEnd w:id="58"/>
    <w:p>
      <w:pPr>
        <w:spacing w:after="0"/>
        <w:tabs>
          <w:tab w:leader="none" w:pos="1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financial statements and related notes thereto and other financial information included elsewhere in this Annual Report on Form 10-K. In addition to historical financial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1,085 active NeuroStar Advanced Therapy Systems in approximately 870 psychiatrist offices as of December 31, 2019 and the estimated 81,600 patients treated with approximately 2.9 million of our treatment sessions through such date. We generated revenues of $62.7 million and $52.8 million for the years ended December 31, 2019 and 2018, respectively.</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sales of our recurring treatment sessions and from service and repair and extended warranty contracts. We derive the majority of our revenues from recurring treatment sessions. For the year ended December 31, 2019, revenues from sales of our treatment sessions and NeuroStar Advanced Therapy Systems represented 68% and 30% of our U.S. revenues, respectively. For the year ended December 31, 2018, revenues from sales of our treatment sessions and NeuroStar Advanced Therapy Systems represented 69% and 28% of our U.S. revenues, respectively.</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sell our NeuroStar Advanced Therapy System and recurring treatment sessions in the United States through our sales and customer support team. Our sales force primarily targets 20,600 psychiatrists at 5,700 high-decile psychiatric practices that we estimate, based on data from Symphony Health and our own internal estimates, treat approximately 42%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No single customer accounted for more than 10% of our revenues for the years ended December 31, 2019 or 2018. Patients are reimbursed by Medicare and the vast majority of commercial payors in the United States for treatment sessions utilizing our NeuroStar Advanced Therapy System.</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market our products in a few select markets outside the United States through independent distributors. International revenues represented 3% and 2% of our total revenues for the years ended December 31, 2019 and 2018,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We obtained reimbursement coverage for NeuroStar Advanced Therapy in Japan, which went into effect on June 1, 2019 and covers patients who are treated in the largest inpatient and outpatient psychiatric facilities in Japan. We expect our international revenues to increase as a percentage of our total revenues as we grow our presence in Japan.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9" w:name="page60"/>
    <w:bookmarkEnd w:id="59"/>
    <w:p>
      <w:pPr>
        <w:ind w:right="20"/>
        <w:spacing w:after="0" w:line="25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total revenues increased by $9.9 million, or 19%, from $52.8 million for the year ended December 31, 2018 to $62.7 million for the year ended December 31, 2019. For the year ended December 31, 2019, our U.S. revenues were $60.8 million, compared to $51.5 million for the year ended December 31, 2018, which represented an increase of 18% period over period. We expect to continue to incur losses for the next several years as we expand our commercial organization to support our planned sales growth and while continuing to invest in our pipeline indications. As of December 31, 2019, we had an accumulated deficit of $250.1 million.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2, 2018, we closed our IPO in which we issued and sold 6,325,000 shares of our common stock, which included shares sold pursuant to an option granted to the underwriters to purchase additional shares, at a public offering price of $17.00 per share. We received net proceeds $96.5 million after deducting underwriting discounts, commissions and other offering expenses paid by us. Our common stock is listed on the Nasdaq Global Market under the trading symbol “STIM.” Our primary sources of capital to date have been from our IPO, private placements of our convertible preferred securities, borrowings under our credit facilities and revenues from sales of our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7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1085 and 907 active NeuroStar Advanced Therapy Systems as of December 31, 2019 and 2018, respectively.</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 Sessions and SenStar treatment links.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7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t>Sales in the United States represented 97% and 98% of our total revenues for the years ending December 31, 2019 and 2018, respectively and have been generated by our direct sales force. Outside the United States, our sales are made through local third-party distributors. International revenues were 3% for the year ended December 31, 2019, compared with 2% for the year ended December 31, 2018. In 2017, we terminated our relationship with our Japanese distributor in anticipation of entering into a new distribution agreement with Teijin, which significantly impacted our international sales for the year ended December 31, 2017. We expect that both our United States and international revenues will increase in the near term as we continue to expand the installed base of NeuroStar Advanced Therapy Systems and increase the related patient utilization in the United States, as well as grow our presence in Japan. We expect our revenues to be positively impacted to the extent our direct sales force is successful in increasing the rate of adoption and utilization of treatment with TMS Therapy as an alternative to other MDD treatments.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television and radio media campaigns, travel and training expenses.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anticipate an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 reporting and compliance, as well as increased director and officer insurance premiums, as a result of becoming a public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5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Other (income) expense, net consists primarily of the revaluation related to our outstanding convertible preferred stock warrants, which were accounted for as a liability as of June 30, 2018 and marked-to-market at each reporting period, as well as gains and losses on the disposal of fixed assets and interest income earned on our money market account balances.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Increase / (Decrease)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Dollars</w:t>
            </w: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8"/>
          </w:tcPr>
          <w:p>
            <w:pPr>
              <w:ind w:left="8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Cost of revenues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Gross Margin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Loss from Operations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(26,930)</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(19,834)</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(7,096)</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Net Loss</w:t>
            </w:r>
          </w:p>
        </w:tc>
        <w:tc>
          <w:tcPr>
            <w:tcW w:w="1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(29,044)</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(24,097)</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(4,947)</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Revenues by Geography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74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International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58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revenues</w:t>
            </w:r>
          </w:p>
        </w:tc>
        <w:tc>
          <w:tcPr>
            <w:tcW w:w="15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2" w:name="page63"/>
    <w:bookmarkEnd w:id="62"/>
    <w:p>
      <w:pPr>
        <w:jc w:val="center"/>
        <w:ind w:left="5040"/>
        <w:spacing w:after="0"/>
        <w:rPr>
          <w:sz w:val="20"/>
          <w:szCs w:val="20"/>
          <w:color w:val="auto"/>
        </w:rPr>
      </w:pPr>
      <w:r>
        <w:rPr>
          <w:rFonts w:ascii="Arial" w:cs="Arial" w:eastAsia="Arial" w:hAnsi="Arial"/>
          <w:sz w:val="14"/>
          <w:szCs w:val="14"/>
          <w:b w:val="1"/>
          <w:bCs w:val="1"/>
          <w:color w:val="auto"/>
        </w:rPr>
        <w:t>U.S. Revenues by Product Category</w:t>
      </w:r>
    </w:p>
    <w:p>
      <w:pPr>
        <w:jc w:val="center"/>
        <w:ind w:left="5040"/>
        <w:spacing w:after="0" w:line="236" w:lineRule="auto"/>
        <w:rPr>
          <w:sz w:val="20"/>
          <w:szCs w:val="20"/>
          <w:color w:val="auto"/>
        </w:rPr>
      </w:pPr>
      <w:r>
        <w:rPr>
          <w:rFonts w:ascii="Arial" w:cs="Arial" w:eastAsia="Arial" w:hAnsi="Arial"/>
          <w:sz w:val="14"/>
          <w:szCs w:val="14"/>
          <w:b w:val="1"/>
          <w:bCs w:val="1"/>
          <w:color w:val="auto"/>
        </w:rPr>
        <w:t>Years ended 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7"/>
          </w:tcPr>
          <w:p>
            <w:pPr>
              <w:jc w:val="center"/>
              <w:ind w:right="5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NeuroStar Advanced Therapy System</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18,007</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6"/>
                <w:szCs w:val="16"/>
                <w:color w:val="auto"/>
              </w:rPr>
              <w:t>Treatment sessions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41,120</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tcPr>
          <w:p>
            <w:pPr>
              <w:ind w:left="240"/>
              <w:spacing w:after="0"/>
              <w:rPr>
                <w:sz w:val="20"/>
                <w:szCs w:val="20"/>
                <w:color w:val="auto"/>
              </w:rPr>
            </w:pPr>
            <w:r>
              <w:rPr>
                <w:rFonts w:ascii="Arial" w:cs="Arial" w:eastAsia="Arial" w:hAnsi="Arial"/>
                <w:sz w:val="16"/>
                <w:szCs w:val="16"/>
                <w:color w:val="auto"/>
              </w:rPr>
              <w:t>Total U.S. revenues</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60,760</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gridSpan w:val="9"/>
          </w:tcPr>
          <w:p>
            <w:pPr>
              <w:jc w:val="center"/>
              <w:ind w:left="557"/>
              <w:spacing w:after="0"/>
              <w:rPr>
                <w:sz w:val="20"/>
                <w:szCs w:val="20"/>
                <w:color w:val="auto"/>
              </w:rPr>
            </w:pPr>
            <w:r>
              <w:rPr>
                <w:rFonts w:ascii="Arial" w:cs="Arial" w:eastAsia="Arial" w:hAnsi="Arial"/>
                <w:sz w:val="14"/>
                <w:szCs w:val="14"/>
                <w:b w:val="1"/>
                <w:bCs w:val="1"/>
                <w:color w:val="auto"/>
                <w:w w:val="92"/>
              </w:rPr>
              <w:t>United States NeuroStar Advanced Therapy System</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7"/>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Revenues by Type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center"/>
              <w:ind w:right="520"/>
              <w:spacing w:after="0"/>
              <w:rPr>
                <w:sz w:val="20"/>
                <w:szCs w:val="20"/>
                <w:color w:val="auto"/>
              </w:rPr>
            </w:pPr>
            <w:r>
              <w:rPr>
                <w:rFonts w:ascii="Arial" w:cs="Arial" w:eastAsia="Arial" w:hAnsi="Arial"/>
                <w:sz w:val="14"/>
                <w:szCs w:val="14"/>
                <w:b w:val="1"/>
                <w:bCs w:val="1"/>
                <w:color w:val="auto"/>
                <w:w w:val="90"/>
              </w:rPr>
              <w:t>Years ended 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7"/>
          </w:tcPr>
          <w:p>
            <w:pPr>
              <w:jc w:val="center"/>
              <w:ind w:right="5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NeuroStar Capital</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16,196</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Operating lease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40"/>
              <w:spacing w:after="0"/>
              <w:rPr>
                <w:sz w:val="20"/>
                <w:szCs w:val="20"/>
                <w:color w:val="auto"/>
              </w:rPr>
            </w:pPr>
            <w:r>
              <w:rPr>
                <w:rFonts w:ascii="Arial" w:cs="Arial" w:eastAsia="Arial" w:hAnsi="Arial"/>
                <w:sz w:val="18"/>
                <w:szCs w:val="18"/>
                <w:color w:val="auto"/>
                <w:w w:val="90"/>
              </w:rPr>
              <w:t>Total United States NeuroStar Advanced Therapy System revenues</w:t>
            </w: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18,007</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revenues increased by $9.9 million, or 19%, from $52.8 million for the year ended December 31, 2018 to $62.7 million for the year ended December 31, 2019. Revenues in the United States increased by $9.3 million from 2018 to 2019 due to higher unit sales of both NeuroStar Advanced Therapy Systems and treatment sessions. The year over year increase in international revenue was primarily due to multi-unit orders by Teijin Pharma Limited, our Japanese partner, during the second and third quarters of 2019.</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Revenues in the United States increased by $9.3 million, or 18%, from $51.5 million for the year ended December 31, 2018 to $60.8 million for the year ended December 31, 2019. NeuroStar Advanced Therapy System revenues in the United States grew by $3.4 million, or 23%, in the year ended December 31, 2019 compared to the year ended December 31, 2018. The increase was primarily driven by a 25% increase in NeuroStar Advanced Therapy System capital revenue, which includes capital sales and sales-type leases. The increase in NeuroStar capital revenue was driven by a total of 250 NeuroStar Advanced Therapy Systems sold, which was an increase of 43% over the NeuroStar systems sold in 2018. This increase was offset by a 12% decline in average selling prices as compared to 2018 as a result of a higher mix of sales-type leases versus capital sales.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the growth in NeuroStar Advanced Therapy System revenues between these two periods was the result of the efforts of our expanded commercial organization and increased marketing efforts. As of December 31, 2019, we had an installed base of 1,085 active systems in the United States, compared to 907 as of December 31, 2018.</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Treatment sessions revenues in the United States represented 68% and 69% of total revenues in the United States for the years ended December 31, 2019 and 2018, respectively, and increased by 17% from $35.3 million for the year end December 31, 2018 to $41.1 million for the year ended December 31, 2019. The increase in U.S. treatment session revenue was primarily the result of an increase in the U.S. active installed base, which was partially offset by a decline in average U.S. treatment session revenue per active system. Average U.S. treatment session revenue per active system is calculated using the prior quarter’s ending active installed base, which was 1,032 as of September 30, 2019 and 858 as of September 30, 2018. For the full year 2019, the average U.S. treatment session revenue per active system was approximately $39,900, which was a decrease of 3% compared to the full year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Cost of revenues increased by $2.9 million, or 24%, from $12.4 million for the year ended December 31, 2018 to $15.4 million for the year ended December 31, 2019. The increase was primarily due to increased NeuroStar Advanced Therapy System sales. Gross margin was 75.4% for the year ended December 31, 2019 compared to 76.4% for the year ended December 31, 2018. The decrease in gross margin was the result of a higher percentage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3" w:name="page64"/>
    <w:bookmarkEnd w:id="63"/>
    <w:p>
      <w:pPr>
        <w:ind w:right="440"/>
        <w:spacing w:after="0" w:line="277" w:lineRule="auto"/>
        <w:rPr>
          <w:sz w:val="20"/>
          <w:szCs w:val="20"/>
          <w:color w:val="auto"/>
        </w:rPr>
      </w:pPr>
      <w:r>
        <w:rPr>
          <w:rFonts w:ascii="Arial" w:cs="Arial" w:eastAsia="Arial" w:hAnsi="Arial"/>
          <w:sz w:val="18"/>
          <w:szCs w:val="18"/>
          <w:color w:val="auto"/>
        </w:rPr>
        <w:t>sales-type leases combined with lower average selling prices on capital sales. This decrease was partially offset by increased leverage on our service and operations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and marketing expenses increased by $4.7 million, or 12%, from $38.3 million for the year ended December 31, 2018 to $43.0 million for the year ended December 31, 2019. The increase was primarily due to increased personnel costs as a result of our sales and marketing expansion activities, as well as higher marketing expenses and sales commission costs, consistent with our growth in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General and administrative expenses increased by $3.8 million, or 28%, from $13.7 million for the year ended December 31, 2018 to $17.5 million for the year ended December 31, 2019. The increase was primarily due to an increase in personnel and legal, accounting and other professional services expenses required to support the growth of our business and the infrastructure for public company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Research and development expenses increased $5.5 million, or 67%, from $8.2 million for the year ended December 31, 2018 to $13.7 million for the year ended December 31, 2019. The increase was primarily due to expenses relating to the launch of the next generation of our NeuroStar Advanced Therapy System and TrakStar practice management system, as well as increased spending in clinical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flat at $3.7 million for the years ended December 31, 2018 and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expense (income), net increased by $2.1 million from $0.6 million for year December 31, 2018 to ($1.6) million for the year ended December 31, 2019, primarily as a result of increased interest income earned on the Company’s money market accounts and the final revaluation of the Company’s warrants in the third quarter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Years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Increase / (Decrease)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Dollars</w:t>
            </w:r>
          </w:p>
        </w:tc>
        <w:tc>
          <w:tcPr>
            <w:tcW w:w="10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7"/>
          </w:tcPr>
          <w:p>
            <w:pPr>
              <w:ind w:left="8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7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Cost of revenues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Gross Margin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(19,834)</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(13,608)</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(6,226)</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740"/>
              <w:spacing w:after="0"/>
              <w:rPr>
                <w:sz w:val="20"/>
                <w:szCs w:val="20"/>
                <w:color w:val="auto"/>
              </w:rPr>
            </w:pPr>
            <w:r>
              <w:rPr>
                <w:rFonts w:ascii="Arial" w:cs="Arial" w:eastAsia="Arial" w:hAnsi="Arial"/>
                <w:sz w:val="16"/>
                <w:szCs w:val="16"/>
                <w:color w:val="auto"/>
              </w:rPr>
              <w:t>Net Loss</w:t>
            </w:r>
          </w:p>
        </w:tc>
        <w:tc>
          <w:tcPr>
            <w:tcW w:w="14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(24,097)</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(16,059)</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(8,038)</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gridSpan w:val="2"/>
          </w:tcPr>
          <w:p>
            <w:pPr>
              <w:jc w:val="right"/>
              <w:ind w:right="65"/>
              <w:spacing w:after="0"/>
              <w:rPr>
                <w:sz w:val="20"/>
                <w:szCs w:val="20"/>
                <w:color w:val="auto"/>
              </w:rPr>
            </w:pPr>
            <w:r>
              <w:rPr>
                <w:rFonts w:ascii="Arial" w:cs="Arial" w:eastAsia="Arial" w:hAnsi="Arial"/>
                <w:sz w:val="18"/>
                <w:szCs w:val="18"/>
                <w:color w:val="auto"/>
              </w:rPr>
              <w:t>62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4" w:name="page65"/>
    <w:bookmarkEnd w:id="64"/>
    <w:p>
      <w:pPr>
        <w:ind w:left="7480"/>
        <w:spacing w:after="0"/>
        <w:rPr>
          <w:sz w:val="20"/>
          <w:szCs w:val="20"/>
          <w:color w:val="auto"/>
        </w:rPr>
      </w:pPr>
      <w:r>
        <w:rPr>
          <w:rFonts w:ascii="Arial" w:cs="Arial" w:eastAsia="Arial" w:hAnsi="Arial"/>
          <w:sz w:val="14"/>
          <w:szCs w:val="14"/>
          <w:b w:val="1"/>
          <w:bCs w:val="1"/>
          <w:color w:val="auto"/>
        </w:rPr>
        <w:t>Revenues by Geography</w:t>
      </w:r>
    </w:p>
    <w:p>
      <w:pPr>
        <w:ind w:left="746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51,477</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35,287</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51,477</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revenues increased by $12.3 million, or 31%, from $40.4 million for the year ended December 31, 2017 to $52.8 million for the year ended December 31, 2018. Revenues in the United States increased by $11.6 million from 2017 to 2018 due to higher unit sales of both NeuroStar Advanced Therapy Systems and treatment sessions. During the fourth quarter of 2017, we entered into an exclusive distribution agreement with Teijin, which we believe will allow us to increase our revenues in Japan once we obtain reimbursement in that country.</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in the United States increased by $11.6 million, or 29%, from $39.9 million for the year ended December 31, 2017 to $51.5 million for the year ended December 31, 2018. NeuroStar Advanced Therapy System revenues in the United States grew by $4.5 million, or 44%, in the year ended December 31, 2018 compared to the year ended December 31, 2017. The increase in U.S. NeuroStar revenue was primarily driven by higher capital revenue growth of 59% due to higher unit sales, partially offset by an 8% decrease in average selling prices, lower upgrade, rent-to-own, and other related revenue. NeuroStar Advanced Therapy System revenues represented 28% and 25% of U.S. revenues for 2018 and 2017, respectively. We believe the growth in NeuroStar Advanced Therapy System revenues between these two periods was the result of the efforts of our expanded commercial organization and increased marketing efforts. As of December 31, 2018, we had an installed base of 907 active systems in the United States, compared to 752 as of December 31, 2017.</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Treatment session revenues in the United States represented 69% and 71% for the years ended December 31, 2018 and 2017, respectively, and increased by 25% from $28.4 million for the year end December 31, 2017 to $35.3 million for the year ended December 31, 2018. The increase in United States treatment session revenues was primarily the result of an approximate 25% increase in the number of treatment sessions sold, partially offset by a 5% decline in average selling price due to pre-determined volume pricing discounts within our existing customer base which are triggered when those customers surpass certain high volume thresholds, plus an increase in other treatment session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Cost of revenues increased by $2.8 million, or 29%, from $9.6 million for the year ended December 31, 2017 to $12.4 million for the year ended December 31, 2018. The increase was primarily due to increased NeuroStar Advanced Therapy System sales. Gross margin was 76.4% for the year ended December 31, 2018 compared to 76.2% for the year ended December 31, 2017. The gross margin was higher due to increased leverage on our service and operation costs, which were partially offset by the higher mix of NeuroStar Advanced Therapy System revenues in 2018 in relation to treatment session revenue and the reduction in average selling prices of our treatment sessions.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Sales and marketing expenses increased by $10.4 million, or 37%, from $27.9 million for the year ended December 31, 2017 to $38.3 million for the year ended December 31, 2018. The increase was primarily due to increased personnel costs as a result of our sales and marketing expansion activities, as well as higher marketing expenses and sales commission costs, consistent with our growth in revenues. During 2018, we added 15 new sales territories and undertook several marketing projects to support our expansion plans, including increasing our presence at trade shows, expanding our media campaigns and enhancing our practice support program to include patient starter kits.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expenses increased by $5.1 million, or 59%, from $8.6 million for the year ended December 31, 2017 to $13.7 million for the year ended December 31, 2018. The increase was primarily due to an increase in personnel and legal, accounting and other professional services expenses required to support the growth of our business and ready the infrastructure for public company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Research and development expenses increased $0.3 million, or 4%, from $7.9 million for the year ended December 31, 2017 to $8.2 million for the year ended December 31, 2018. The increase was primarily due to expenses relating to the launch of the next generation of our NeuroStar Advanced Therapy System and TrakStar practice management system, which were partially offset by declines in spending relating to our adolescent study.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increased $0.9 million, or 31%, from $2.8 million for the year ended December 31, 2017 to $3.7 million for the year ended December 31, 2018, primarily as a result of higher cash interest expenses related to the increase in principal borrowings under our current credit facility and higher non-cash interest expenses accrued in connection with final payment fees due to the lender under the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Other expense (income), net decreased by $0.9 million from ($0.3) million for year December 31, 2017 to $0.6 million for the year ended December 31, 2018. The fair value remeasurement of the liability related to our outstanding convertible preferred stock warrants decreased by $1.7 million during the year ended December 31, 2018, which was based on the closing stock price on June 29, 2018, following the pricing of our IPO on June 27, 2018. Upon closing of our IPO on July 2, 2018, all of our outstanding convertible preferred stock warrants converted into common stock warrants, resulting in the reclassification of our convertible preferred stock warrant liability into additional paid-in-capital. This decrease was partially offset by a $0.8 million of increase in interest income earned on the proceeds received from the IPO. Other expense (income), net for 2018 includes a one-time $0.1 million non-utilization fee related to the Company’s election to not draw down the Term C loan, primarily as a result of the funds received from the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July 2, 2018, we closed our IPO, in which we issued and sold 6,325,000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ind w:right="60"/>
        <w:spacing w:after="0" w:line="291" w:lineRule="auto"/>
        <w:rPr>
          <w:sz w:val="20"/>
          <w:szCs w:val="20"/>
          <w:color w:val="auto"/>
        </w:rPr>
      </w:pPr>
      <w:r>
        <w:rPr>
          <w:rFonts w:ascii="Arial" w:cs="Arial" w:eastAsia="Arial" w:hAnsi="Arial"/>
          <w:sz w:val="16"/>
          <w:szCs w:val="16"/>
          <w:color w:val="auto"/>
        </w:rPr>
        <w:t>As of December 31, 2019, we had cash and cash equivalents of $75.7 million and an accumulated deficit of $250.1 million, compared to cash and cash equivalents of $104.6 million and an accumulated deficit of $221.0 million as of December 31, 2018. We incurred negative cash flows from operating activities of $30.5 million and $20.6 million for the years ended December 31, 2019 and 2018,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December 31, 2019, we had $30.0 million of borrowings outstanding under our credit facility, which matures in March 2022.</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cash and cash equivalents as of December 31, 2019 and anticipated revenues from sales of our products will be sufficient to meet our anticipated cash requirements for at least the next 24 months after December 31, 2019. However, if these sources are insufficient to satisfy our liquidity requirements, we may seek to sell additional common or preferred equity or debt securities,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17" w:lineRule="exact"/>
        <w:rPr>
          <w:sz w:val="20"/>
          <w:szCs w:val="20"/>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17" w:lineRule="exact"/>
        <w:rPr>
          <w:rFonts w:ascii="Arial" w:cs="Arial" w:eastAsia="Arial" w:hAnsi="Arial"/>
          <w:sz w:val="18"/>
          <w:szCs w:val="18"/>
          <w:color w:val="auto"/>
        </w:rPr>
      </w:pPr>
    </w:p>
    <w:p>
      <w:pPr>
        <w:ind w:left="1200" w:right="300" w:hanging="449"/>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62" w:lineRule="exact"/>
        <w:rPr>
          <w:rFonts w:ascii="Arial" w:cs="Arial" w:eastAsia="Arial" w:hAnsi="Arial"/>
          <w:sz w:val="18"/>
          <w:szCs w:val="18"/>
          <w:color w:val="auto"/>
        </w:rPr>
      </w:pPr>
    </w:p>
    <w:p>
      <w:pPr>
        <w:ind w:left="1200" w:right="180" w:hanging="449"/>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62" w:lineRule="exact"/>
        <w:rPr>
          <w:rFonts w:ascii="Arial" w:cs="Arial" w:eastAsia="Arial" w:hAnsi="Arial"/>
          <w:sz w:val="18"/>
          <w:szCs w:val="18"/>
          <w:color w:val="auto"/>
        </w:rPr>
      </w:pPr>
    </w:p>
    <w:p>
      <w:pPr>
        <w:ind w:left="1200" w:right="300" w:hanging="449"/>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years ended December 31, 2019, 2018, and 2017:</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w:t>
      </w:r>
    </w:p>
    <w:p>
      <w:pPr>
        <w:ind w:left="7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8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(30,482)</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(20,591)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(11,144)</w:t>
            </w:r>
          </w:p>
        </w:tc>
      </w:tr>
      <w:tr>
        <w:trPr>
          <w:trHeight w:val="213"/>
        </w:trPr>
        <w:tc>
          <w:tcPr>
            <w:tcW w:w="46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(1,011)</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(594)</w:t>
            </w:r>
          </w:p>
        </w:tc>
      </w:tr>
      <w:tr>
        <w:trPr>
          <w:trHeight w:val="219"/>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97,038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23,845</w:t>
            </w:r>
          </w:p>
        </w:tc>
        <w:tc>
          <w:tcPr>
            <w:tcW w:w="80" w:type="dxa"/>
            <w:vAlign w:val="bottom"/>
            <w:shd w:val="clear" w:color="auto" w:fill="CFF0FC"/>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4580" w:type="dxa"/>
            <w:vAlign w:val="bottom"/>
          </w:tcPr>
          <w:p>
            <w:pPr>
              <w:ind w:left="240"/>
              <w:spacing w:after="0"/>
              <w:rPr>
                <w:sz w:val="20"/>
                <w:szCs w:val="20"/>
                <w:color w:val="auto"/>
              </w:rPr>
            </w:pPr>
            <w:r>
              <w:rPr>
                <w:rFonts w:ascii="Arial" w:cs="Arial" w:eastAsia="Arial" w:hAnsi="Arial"/>
                <w:sz w:val="16"/>
                <w:szCs w:val="16"/>
                <w:color w:val="auto"/>
              </w:rPr>
              <w:t>Net (Decrease) Increase in Cash and Cash Equivalents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(28,875)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75,436</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12,107</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Net cash used in operating activities for 2019 was $30.5 million, consisting primarily of a net loss of $29.0 million and an increase in net operating assets of $6.9 million, partially offset by non-cash charges of $5.5 million. The increase in net operating assets was primarily due to an increase in accounts receivable and inventory as a result of higher sales volumes, as well as increases in prepaid commission expense as a result of the Company’s adoption of </w:t>
      </w:r>
      <w:r>
        <w:rPr>
          <w:rFonts w:ascii="Arial" w:cs="Arial" w:eastAsia="Arial" w:hAnsi="Arial"/>
          <w:sz w:val="18"/>
          <w:szCs w:val="18"/>
          <w:i w:val="1"/>
          <w:iCs w:val="1"/>
          <w:color w:val="auto"/>
        </w:rPr>
        <w:t>ASC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 "Revenue from Contracts with Customers"</w:t>
      </w:r>
      <w:r>
        <w:rPr>
          <w:rFonts w:ascii="Arial" w:cs="Arial" w:eastAsia="Arial" w:hAnsi="Arial"/>
          <w:sz w:val="18"/>
          <w:szCs w:val="18"/>
          <w:color w:val="auto"/>
        </w:rPr>
        <w:t>. Non-cash charges consisted of depreciation and amortization, non-cash interest expense,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the cost of rental units purchased by customers.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cash used in operating activities for 2018 was $20.6 million, consisting primarily of a net loss of $24.1 million, offset by an increase in net operating liabilities of $1.6 million and non-cash charges of $5.1 million. The increase in net operating assets was primarily due to an increase in accounts receivable and inventory as a result of higher sales volumes.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operating activities for 2017 was $11.1 million, consisting primarily of a net loss of $16.1 million, offset by an increase in net operating liabilities of $3.2 million and non-cash charges of $1.8 million. The increase in net operating liabilities was primarily due to an increase in deferred revenue representing the initial payment and first milestone payment received in accordance with our Japanese distribution agreement as well as expanding commercial and research activities.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investing activities for 2019 was $0.8 million, compared to net cash used in investing activities for 2018 of $1.0 million and $0.6 million for 2017, in each case attributable to purchases of property and equipment and capitalized software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for 2019 was $2.4 million, consisting primarily from proceeds from the exercise of 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financing activities for 2018 was $97.0 million, consisting primarily of $100.0 million of proceeds related to the closing of our IPO on July 2, 2018, partially offset by $3.5 million of payments of costs related to the IPO.</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financing activities for 2017 was $23.8 million, consisting of $14.8 million of net proceeds from the issuance of Series G convertible preferred stock and $10.0 million of borrowings under our current credit facility, offset by payment of $1.0 million of deferred debt issuance costs incurred in connection with our March 2017 amended credit facility.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Oxford Credit Facility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2017, we entered into a new loan and security agreement with Oxford for a credit facility that replaced our previous $25.0 million credit facility with Oxford and which allowed us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Oxford if we elected to borrow the Term C Loan. As a result of completing our IPO on July 2, 2018 and receiving the proceeds therefrom, we elected not to borrow the additional $5.0 million, and it is no longer available to us. Each term loan accrues interest from the date of borrowing through the date of repayment at a floating per annum rate of interest, which resets monthly and is equal to the greater of (a) 8.15% or (b) the 30-day U.S. LIBOR on the last business day of the month plus 7.38%. At the date of each borrowing, we were required to issue to Oxford warrants to purchase our Series F or later series of convertible preferred stock with a seven-year term and in an amount equal to 3.95% of the first $5.0 million of each tranche borrowed. The credit facility matures and all amounts borrowed thereunder are due on March 1, 2022. As of December 31, 2019, we had borrowed and had outstanding an aggregate of $30.0 million of principal under our credit facility.</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A Loan featured an interest-only period through March 2019, during which time we were required to make monthly interest payments, after which time we were required to make monthly payments of principal and interest based on a 36-month amortization schedule. However, upon the achievement of $45.0 million of revenues during the fourth quarter of 2018, the interest-only period was extended for an additional 12 months through March 2020, after which time we will be required to make monthly payments of principal and interest based on a 24-month amortization schedule. In connection with the drawdown of the Term A Loan, we issued to Oxford a warrant to purchase shares of its Series F convertible preferred stock. This convertible preferred stock warrant converted into a warrant to purchase 20,303 shares of our common stock at an exercise price of $9.73 per share. The warrant will expire in March 2024.</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Term B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we will be required to make monthly payments of principal and interest based on a 24-month amortization schedule. In connection with the drawdown of the Term B Loan, we issued to Oxford a warrant to purchase shares of its Series F convertible preferred stock. This convertible preferred stock warrant converted into a warrant to purchase 20,303 shares of our common stock at an exercise price of $9.73 per share. The warrant will expire in December 2024.</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principal and interest payments due under the credit facility, we are required to make final payment fees to Oxford due upon the earlier of prepayment or maturity of each tranche, which increased as a result the extension of the interest-only period and are now equal to 8.5% and 7.5% of the principal amounts of the Term A Loan and Term B Loan, respectively. We accrue the estimated final payment fees using the effective interest rate, with a charge to non-cash interest expense, over the term of borrowing for each tranche. As of December 31, 2019 and 2018, the effective interest rates for the Term A Loan and Term B Loan were 11.87% and 12.14%, respectively. As of December 31, 2017, the effective interest rates for the Term A Loan and Term B Loan were 10.7% and 11.6%, respectively. If the we prepay our term loans prior to their respective scheduled maturities, we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Our obligations under the credit facility are secured by a first priority security interest in substantially all of our assets, other than our intellectual property. We have agreed not to pledge or otherwise encumber any of our intellectual property. The loan and security agreement related to our credit facility includes a financial maintenance covenant that requires us to achieve at least 75% of our trailing 12-month forecasted revenues, as measured each month in accordance with a forecast that we provided to Oxford upon signing the agreement and future forecasts that we are required to deliver to Oxford each year for the life of the credit facility, as well as customary affirmative and negative covenants. We were in compliance with all of the covenants under our credit facility as of December 31, 2018.</w:t>
      </w:r>
    </w:p>
    <w:p>
      <w:pPr>
        <w:spacing w:after="0" w:line="193"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The loan and security agreement related to our credit facility contains events of default, including, without limitation, events of default upon: (i) failure to make payment pursuant to the terms of the agreement; (ii) violation of covenants; (iii) material adverse changes to our business; (iv) attachment or levy on our assets or judicial restraint on our business; (v) insolvency; (vi) significant judgments, orders or decrees for payments by us not covered by insurance;</w:t>
      </w:r>
    </w:p>
    <w:p>
      <w:pPr>
        <w:ind w:right="380" w:firstLine="8"/>
        <w:spacing w:after="0" w:line="290" w:lineRule="auto"/>
        <w:tabs>
          <w:tab w:leader="none" w:pos="3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incorrectness of representations and warranties; (viii) incurrence of subordinated debt; (ix) revocation of governmental approvals necessary for us to conduct our business; and (x) failure by us to maintain a valid and perfected lien on the collateral securing the borrowing.</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a 24-month amortization of the outstanding principal amounts of the Term A Loan and Term B Loan beginning on April 1, 2020 as discussed above, the following table sets forth by year our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2020</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00" w:type="dxa"/>
            <w:vAlign w:val="bottom"/>
            <w:gridSpan w:val="2"/>
          </w:tcPr>
          <w:p>
            <w:pPr>
              <w:ind w:left="240"/>
              <w:spacing w:after="0"/>
              <w:rPr>
                <w:sz w:val="20"/>
                <w:szCs w:val="20"/>
                <w:color w:val="auto"/>
              </w:rPr>
            </w:pPr>
            <w:r>
              <w:rPr>
                <w:rFonts w:ascii="Arial" w:cs="Arial" w:eastAsia="Arial" w:hAnsi="Arial"/>
                <w:sz w:val="16"/>
                <w:szCs w:val="16"/>
                <w:color w:val="auto"/>
              </w:rPr>
              <w:t>Total principal payments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2, 2020, the Company entered into a loan and security agreement with Solar, as collateral agent, and the lenders identified therein, for a credit facility that replaced the Company’s previous $35.0 million credit facility with Oxford. Simultaneously with the Company’s entry into the Solar credit facility, the Company prepaid in full all outstanding obligations under, and terminated, the Oxford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year ended December 31, 2019, we recognized interest expense of $3.7 million, of which $2.9 million was cash and $0.8 million was non-cash interest expense related to the amortization of deferred financing costs and accrual of final payment fees.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year ended December 31, 2018, we recognized interest expense of $3.7 million, of which $2.9 million was cash and $0.8 million was non-cash interest expense related to the amortization of deferred financing costs and accrual of final payment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contractual obligations as of December 31,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1"/>
              </w:rPr>
              <w:t>Payments Due by Period</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80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rPr>
              <w:t>1 to 3</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rPr>
              <w:t>3 to 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4"/>
                <w:szCs w:val="14"/>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62"/>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long-term debt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18,750</w:t>
            </w:r>
          </w:p>
        </w:tc>
        <w:tc>
          <w:tcPr>
            <w:tcW w:w="440" w:type="dxa"/>
            <w:vAlign w:val="bottom"/>
            <w:gridSpan w:val="3"/>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5"/>
                <w:szCs w:val="15"/>
                <w:color w:val="auto"/>
              </w:rPr>
              <w:t>Interest and lender fees on long-term debt</w:t>
            </w:r>
            <w:r>
              <w:rPr>
                <w:rFonts w:ascii="Arial" w:cs="Arial" w:eastAsia="Arial" w:hAnsi="Arial"/>
                <w:sz w:val="25"/>
                <w:szCs w:val="25"/>
                <w:color w:val="auto"/>
                <w:vertAlign w:val="superscript"/>
              </w:rPr>
              <w:t>(1)</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Operating leases</w:t>
            </w:r>
            <w:r>
              <w:rPr>
                <w:rFonts w:ascii="Arial" w:cs="Arial" w:eastAsia="Arial" w:hAnsi="Arial"/>
                <w:sz w:val="25"/>
                <w:szCs w:val="25"/>
                <w:color w:val="auto"/>
                <w:vertAlign w:val="superscript"/>
              </w:rPr>
              <w:t>(2)</w:t>
            </w:r>
          </w:p>
        </w:tc>
        <w:tc>
          <w:tcPr>
            <w:tcW w:w="1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260"/>
              <w:spacing w:after="0"/>
              <w:rPr>
                <w:sz w:val="20"/>
                <w:szCs w:val="20"/>
                <w:color w:val="auto"/>
              </w:rPr>
            </w:pPr>
            <w:r>
              <w:rPr>
                <w:rFonts w:ascii="Arial" w:cs="Arial" w:eastAsia="Arial" w:hAnsi="Arial"/>
                <w:sz w:val="16"/>
                <w:szCs w:val="16"/>
                <w:color w:val="auto"/>
              </w:rPr>
              <w:t>Total</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14,257</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23,641</w:t>
            </w:r>
          </w:p>
        </w:tc>
        <w:tc>
          <w:tcPr>
            <w:tcW w:w="44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1,282</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2,147</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560" w:hanging="432"/>
        <w:spacing w:after="0" w:line="211" w:lineRule="auto"/>
        <w:tabs>
          <w:tab w:leader="none" w:pos="440" w:val="left"/>
        </w:tabs>
        <w:numPr>
          <w:ilvl w:val="0"/>
          <w:numId w:val="33"/>
        </w:numPr>
        <w:rPr>
          <w:rFonts w:ascii="Arial" w:cs="Arial" w:eastAsia="Arial" w:hAnsi="Arial"/>
          <w:sz w:val="26"/>
          <w:szCs w:val="26"/>
          <w:color w:val="auto"/>
          <w:vertAlign w:val="superscript"/>
        </w:rPr>
      </w:pPr>
      <w:r>
        <w:rPr>
          <w:rFonts w:ascii="Arial" w:cs="Arial" w:eastAsia="Arial" w:hAnsi="Arial"/>
          <w:sz w:val="18"/>
          <w:szCs w:val="18"/>
          <w:color w:val="auto"/>
        </w:rPr>
        <w:t>Interest payable reflects the rate in effect as of December 31, 2019. The interest rate on borrowings under the credit facility is variable and resets monthly. Lender fees reflect final payment fees due.</w:t>
      </w:r>
    </w:p>
    <w:p>
      <w:pPr>
        <w:spacing w:after="0" w:line="26" w:lineRule="exact"/>
        <w:rPr>
          <w:rFonts w:ascii="Arial" w:cs="Arial" w:eastAsia="Arial" w:hAnsi="Arial"/>
          <w:sz w:val="26"/>
          <w:szCs w:val="26"/>
          <w:color w:val="auto"/>
          <w:vertAlign w:val="superscript"/>
        </w:rPr>
      </w:pPr>
    </w:p>
    <w:p>
      <w:pPr>
        <w:ind w:left="440" w:hanging="432"/>
        <w:spacing w:after="0"/>
        <w:tabs>
          <w:tab w:leader="none" w:pos="440" w:val="left"/>
        </w:tabs>
        <w:numPr>
          <w:ilvl w:val="0"/>
          <w:numId w:val="33"/>
        </w:numPr>
        <w:rPr>
          <w:rFonts w:ascii="Arial" w:cs="Arial" w:eastAsia="Arial" w:hAnsi="Arial"/>
          <w:sz w:val="26"/>
          <w:szCs w:val="26"/>
          <w:color w:val="auto"/>
          <w:vertAlign w:val="superscript"/>
        </w:rPr>
      </w:pPr>
      <w:r>
        <w:rPr>
          <w:rFonts w:ascii="Arial" w:cs="Arial" w:eastAsia="Arial" w:hAnsi="Arial"/>
          <w:sz w:val="18"/>
          <w:szCs w:val="18"/>
          <w:color w:val="auto"/>
        </w:rPr>
        <w:t>Reflects obligations primarily related to our office and warehouse/storage leases in Malvern, PA.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United States,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3.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On January 1, 2019, we adopted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Under ASC 606, we recognize revenue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spacing w:after="0" w:line="79" w:lineRule="exact"/>
        <w:rPr>
          <w:sz w:val="20"/>
          <w:szCs w:val="20"/>
          <w:color w:val="auto"/>
        </w:rPr>
      </w:pPr>
    </w:p>
    <w:p>
      <w:pPr>
        <w:ind w:left="1200" w:hanging="44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ind w:right="80"/>
        <w:spacing w:after="0" w:line="302" w:lineRule="auto"/>
        <w:rPr>
          <w:sz w:val="20"/>
          <w:szCs w:val="20"/>
          <w:color w:val="auto"/>
        </w:rPr>
      </w:pPr>
      <w:r>
        <w:rPr>
          <w:rFonts w:ascii="Arial" w:cs="Arial" w:eastAsia="Arial" w:hAnsi="Arial"/>
          <w:sz w:val="16"/>
          <w:szCs w:val="16"/>
          <w:color w:val="auto"/>
        </w:rPr>
        <w:t>We primarily earn revenues are from the sale of NeuroStar Advanced Therapy Systems, consumable single use treatment sessions, and accessory products. A contract’s transaction price is allocated to each performance obligation and recognized as revenue when, or as, the performance obligation is satisfied, which generally is the point in time when the product is shipped or control is transferred. We sell to end users in the United States and to third-party distributors outside the United States and do not provide return rights. Sales to distributors outside the United States are made in U.S. dollars.</w:t>
      </w:r>
    </w:p>
    <w:p>
      <w:pPr>
        <w:spacing w:after="0" w:line="15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Revenue attributable to the NeuroStar Advanced Therapy Systems purchased on a rent-to-own basis are accounted for either (1) as operating leases and revenue is recognized on a straight-line basis over the term of the lease; or (2) as a sales-type lease and revenue is recognized upon installation.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NeuroStar Advanced Therapy System sales in the United States typically have a post-sale training obligation. This obligation is fulfilled after product shipment, and we defer recognizing revenue until training occurs. We defer the fair value attributable to the post shipment training and recognize such revenue when the obligation is fulfilled. We base the fair value of the training using stand-alone service rates. Our sales to our third-party distributors outside the United States do not have these post-sale obligations.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provide a one to two-year warranty for systems sold in the United States. Terms of product warranty differ amongst our third-party distributors outside the United States but are generally two years. We provide for the estimated cost to repair or replace products under any warranty at the time of sale. We also offer our customers in the United States annual service contracts. Revenue from the sale of annual service contracts is recognized on a straight-line basis over the period of the applicable contract. We also earn revenue from customers from services outside of their warranty term or annual service contracts. Such service revenue is recognized as the services are provided.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avail ourselves of this exemption from complying with new or revised accounting standards and, therefore, will not be subject to the same new or revised accounting standards as other public companies that are not emerging growth companies.</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Subject to certain conditions, as an emerging growth company, we may rely on certain other exemptions and reduced reporting requirements under the JOBS Act, including without limitation (i) providing an auditor’s attestation report on our system of internal controls over financial reporting pursuant to</w:t>
      </w:r>
    </w:p>
    <w:p>
      <w:pPr>
        <w:ind w:right="60"/>
        <w:spacing w:after="0" w:line="252" w:lineRule="auto"/>
        <w:rPr>
          <w:sz w:val="20"/>
          <w:szCs w:val="20"/>
          <w:color w:val="auto"/>
        </w:rPr>
      </w:pPr>
      <w:r>
        <w:rPr>
          <w:rFonts w:ascii="Arial" w:cs="Arial" w:eastAsia="Arial" w:hAnsi="Arial"/>
          <w:sz w:val="18"/>
          <w:szCs w:val="18"/>
          <w:color w:val="auto"/>
        </w:rPr>
        <w:t>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our IPO; (c) the date on which we have issued more than $1.0 billion in nonconvertible debt during the previous six years; or (d) the date on which we are deemed to be a large accelerated filer under the rules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refer you to “Note 4. Recent Accounting Pronouncements” in our audited financial statements and related notes thereto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spacing w:after="0"/>
        <w:tabs>
          <w:tab w:leader="none" w:pos="17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discussed above in the section of this Annual Report on Form 10-K titled “—Liquidity and Capital Resources—Indebtedness,” our credit facility bears interest at a floating per annum rate of interest, which resets monthly and is equal to the greater of (a) 8.15% or (b) the 30-day U.S. LIBOR on the last business day of the month plus 7.38%. As a result, we are exposed to risks from changes in interest rates. We believe that a one-point increase in interest rates would result in an approximate $0.3 million increase to our interest expense for the year ended December 31, 2019.</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352"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 and incorporated by reference herein.</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as of December 31, 2019 at the reasonable assurance level.</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2019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fourth quarter ended December 31, 2019, there were no changes in our internal control over financial reporting (as defined in Rule 13a-15(f) of the Exchange Act) which materially affected, or are reasonably likely to materially affect, our internal control over financial reporting.</w:t>
      </w:r>
    </w:p>
    <w:p>
      <w:pPr>
        <w:spacing w:after="0" w:line="251"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“Proposal 1 - Election of Directors,” “Executive Officers of the Company,” and “Information Regarding the Board of Directors and Corporate Governance” and “Delinquent Section 16(a) Reports” in our 2020 Proxy Statement.</w:t>
      </w:r>
    </w:p>
    <w:p>
      <w:pPr>
        <w:spacing w:after="0" w:line="28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Compensation” in our 2020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“Executive Compensation” in our 2020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“Transactions with Related Persons” and “Information regarding the Board of Directors and Corporate Governance” in our 2020 Proxy Statement.</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“Principal Accountant Fees and Services” contained in Proposal 2 in our 2020 Proxy Statement.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listed in the Index to Financial Statements beginning on page F-1 are filed as part of this Annual Report on Form 10-K.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(a)(2) Financial Statement Schedules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listed in the Index to Financial Statements beginning on page F-1.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(a)(3) Exhibits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the Exhibit Index immediately following the signature page of this Annual Report. The exhibits listed in the Exhibit Index below are filed or incorporated by reference as part of this Annual Report.</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p>
      <w:pPr>
        <w:ind w:left="420"/>
        <w:spacing w:after="0"/>
        <w:tabs>
          <w:tab w:leader="none" w:pos="1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6" w:name="page77"/>
    <w:bookmarkEnd w:id="76"/>
    <w:p>
      <w:pPr>
        <w:jc w:val="center"/>
        <w:ind w:right="-179"/>
        <w:spacing w:after="0"/>
        <w:rPr>
          <w:sz w:val="20"/>
          <w:szCs w:val="20"/>
          <w:color w:val="auto"/>
        </w:rPr>
      </w:pPr>
      <w:r>
        <w:rPr>
          <w:rFonts w:ascii="Arial" w:cs="Arial" w:eastAsia="Arial" w:hAnsi="Arial"/>
          <w:sz w:val="18"/>
          <w:szCs w:val="18"/>
          <w:b w:val="1"/>
          <w:bCs w:val="1"/>
          <w:color w:val="auto"/>
        </w:rPr>
        <w:t>NEURONETICS, INC.</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91"/>
        </w:trPr>
        <w:tc>
          <w:tcPr>
            <w:tcW w:w="10880" w:type="dxa"/>
            <w:vAlign w:val="bottom"/>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Independent Registered Public Accounting Firm</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F-2</w:t>
            </w:r>
          </w:p>
        </w:tc>
      </w:tr>
      <w:tr>
        <w:trPr>
          <w:trHeight w:val="331"/>
        </w:trPr>
        <w:tc>
          <w:tcPr>
            <w:tcW w:w="4220" w:type="dxa"/>
            <w:vAlign w:val="bottom"/>
            <w:tcBorders>
              <w:top w:val="single" w:sz="8" w:color="0000EE"/>
            </w:tcBorders>
            <w:gridSpan w:val="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Balance Sheets</w:t>
              </w:r>
            </w:hyperlink>
          </w:p>
        </w:tc>
        <w:tc>
          <w:tcPr>
            <w:tcW w:w="6660" w:type="dxa"/>
            <w:vAlign w:val="bottom"/>
            <w:gridSpan w:val="2"/>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Statements of Operations</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F-4</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Statements of Changes in Convertible Preferred Stock and Stockholders’ Equity (Deficit</w:t>
              </w:r>
            </w:hyperlink>
            <w:r>
              <w:rPr>
                <w:rFonts w:ascii="Arial" w:cs="Arial" w:eastAsia="Arial" w:hAnsi="Arial"/>
                <w:sz w:val="18"/>
                <w:szCs w:val="18"/>
                <w:u w:val="single" w:color="auto"/>
                <w:color w:val="000000"/>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F-5</w:t>
            </w:r>
          </w:p>
        </w:tc>
      </w:tr>
      <w:tr>
        <w:trPr>
          <w:trHeight w:val="331"/>
        </w:trPr>
        <w:tc>
          <w:tcPr>
            <w:tcW w:w="6380" w:type="dxa"/>
            <w:vAlign w:val="bottom"/>
            <w:tcBorders>
              <w:top w:val="single" w:sz="8" w:color="0000EE"/>
            </w:tcBorders>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Statements of Cash Flows</w:t>
              </w:r>
            </w:hyperlink>
          </w:p>
        </w:tc>
        <w:tc>
          <w:tcPr>
            <w:tcW w:w="450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7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31"/>
        </w:trPr>
        <w:tc>
          <w:tcPr>
            <w:tcW w:w="1088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Financial Statements</w:t>
              </w:r>
            </w:hyperlink>
          </w:p>
        </w:tc>
        <w:tc>
          <w:tcPr>
            <w:tcW w:w="560" w:type="dxa"/>
            <w:vAlign w:val="bottom"/>
            <w:gridSpan w:val="2"/>
          </w:tcPr>
          <w:p>
            <w:pPr>
              <w:ind w:left="300"/>
              <w:spacing w:after="0"/>
              <w:rPr>
                <w:sz w:val="20"/>
                <w:szCs w:val="20"/>
                <w:color w:val="auto"/>
              </w:rPr>
            </w:pPr>
            <w:r>
              <w:rPr>
                <w:rFonts w:ascii="Arial" w:cs="Arial" w:eastAsia="Arial" w:hAnsi="Arial"/>
                <w:sz w:val="18"/>
                <w:szCs w:val="18"/>
                <w:color w:val="auto"/>
                <w:w w:val="88"/>
              </w:rPr>
              <w:t>F-7</w:t>
            </w:r>
          </w:p>
        </w:tc>
      </w:tr>
      <w:tr>
        <w:trPr>
          <w:trHeight w:val="831"/>
        </w:trPr>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66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Neuronetics,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audited the accompanying balance sheets of Neuronetics, Inc. (the Company) as of December 31, 2019 and 2018, the related statements of operations, changes in convertible preferred stock and stockholders’ equity (deficit), and cash flows for each of the years in the three 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three year period ended December 31, 2019, in conformity with U.S. generally accepted accounting principles.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As discussed in Note 3 to the financial statements, the Company has changed its method of accounting for revenue and leases in the year ended December 31, 2019 due to the adoption of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ASC Topic 842, </w:t>
      </w:r>
      <w:r>
        <w:rPr>
          <w:rFonts w:ascii="Arial" w:cs="Arial" w:eastAsia="Arial" w:hAnsi="Arial"/>
          <w:sz w:val="18"/>
          <w:szCs w:val="18"/>
          <w:i w:val="1"/>
          <w:iCs w:val="1"/>
          <w:color w:val="auto"/>
        </w:rPr>
        <w:t>Leases</w:t>
      </w:r>
      <w:r>
        <w:rPr>
          <w:rFonts w:ascii="Arial" w:cs="Arial" w:eastAsia="Arial" w:hAnsi="Arial"/>
          <w:sz w:val="18"/>
          <w:szCs w:val="18"/>
          <w:color w:val="auto"/>
        </w:rPr>
        <w:t>,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75,708</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Accounts receivable, net</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Current portion of net investments in sales-type leases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Current portion of prepaid commission expense</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4"/>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Net investments in sales-type leases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1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40" w:type="dxa"/>
            <w:vAlign w:val="bottom"/>
            <w:gridSpan w:val="4"/>
            <w:vMerge w:val="continue"/>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Accounts payable</w:t>
            </w:r>
          </w:p>
        </w:tc>
        <w:tc>
          <w:tcPr>
            <w:tcW w:w="1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4,625</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Deferred revenue</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Current portion of long-term debt, net</w:t>
            </w:r>
          </w:p>
        </w:tc>
        <w:tc>
          <w:tcPr>
            <w:tcW w:w="1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5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4"/>
          </w:tcPr>
          <w:p>
            <w:pPr>
              <w:spacing w:after="0"/>
              <w:rPr>
                <w:sz w:val="20"/>
                <w:szCs w:val="20"/>
                <w:color w:val="auto"/>
              </w:rPr>
            </w:pPr>
            <w:r>
              <w:rPr>
                <w:rFonts w:ascii="Arial" w:cs="Arial" w:eastAsia="Arial" w:hAnsi="Arial"/>
                <w:sz w:val="18"/>
                <w:szCs w:val="18"/>
                <w:color w:val="auto"/>
              </w:rPr>
              <w:t>Long-term debt, net</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5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586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(Note 17)</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Preferred stock, $0.01 par value: 10,000 shares authorized; no</w:t>
            </w: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shares issued or outstanding at December 31, 2019 and 2018,</w:t>
            </w: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respectively</w:t>
            </w:r>
          </w:p>
        </w:tc>
        <w:tc>
          <w:tcPr>
            <w:tcW w:w="15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Common stock, $0.01 par value: 200,000 shares authorized;</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ind w:left="360"/>
              <w:spacing w:after="0"/>
              <w:rPr>
                <w:sz w:val="20"/>
                <w:szCs w:val="20"/>
                <w:color w:val="auto"/>
              </w:rPr>
            </w:pPr>
            <w:r>
              <w:rPr>
                <w:rFonts w:ascii="Arial" w:cs="Arial" w:eastAsia="Arial" w:hAnsi="Arial"/>
                <w:sz w:val="18"/>
                <w:szCs w:val="18"/>
                <w:color w:val="auto"/>
              </w:rPr>
              <w:t>18,645 and 17,744 shares issued and outstanding at</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3"/>
          </w:tcPr>
          <w:p>
            <w:pPr>
              <w:ind w:left="360"/>
              <w:spacing w:after="0"/>
              <w:rPr>
                <w:sz w:val="20"/>
                <w:szCs w:val="20"/>
                <w:color w:val="auto"/>
              </w:rPr>
            </w:pPr>
            <w:r>
              <w:rPr>
                <w:rFonts w:ascii="Arial" w:cs="Arial" w:eastAsia="Arial" w:hAnsi="Arial"/>
                <w:sz w:val="18"/>
                <w:szCs w:val="18"/>
                <w:color w:val="auto"/>
              </w:rPr>
              <w:t>December 31, 2019 and 2018, respectively</w:t>
            </w: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3"/>
          </w:tcPr>
          <w:p>
            <w:pPr>
              <w:ind w:left="240"/>
              <w:spacing w:after="0"/>
              <w:rPr>
                <w:sz w:val="20"/>
                <w:szCs w:val="20"/>
                <w:color w:val="auto"/>
              </w:rPr>
            </w:pPr>
            <w:r>
              <w:rPr>
                <w:rFonts w:ascii="Arial" w:cs="Arial" w:eastAsia="Arial" w:hAnsi="Arial"/>
                <w:sz w:val="18"/>
                <w:szCs w:val="18"/>
                <w:color w:val="auto"/>
              </w:rPr>
              <w:t>Accumulated deficit</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(250,087)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586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5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26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62,656</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4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15,389</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12,447</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Gross Profit</w:t>
            </w:r>
          </w:p>
        </w:tc>
        <w:tc>
          <w:tcPr>
            <w:tcW w:w="14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47,267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4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13,747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4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74,197</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44,409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Loss from Operations</w:t>
            </w:r>
          </w:p>
        </w:tc>
        <w:tc>
          <w:tcPr>
            <w:tcW w:w="1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3"/>
              </w:rPr>
              <w:t>(26,930)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(19,834)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(13,608)</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6"/>
                <w:szCs w:val="16"/>
                <w:color w:val="auto"/>
              </w:rPr>
              <w:t>Other (income) expense:</w:t>
            </w:r>
          </w:p>
        </w:tc>
        <w:tc>
          <w:tcPr>
            <w:tcW w:w="14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(1,571)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14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FF0FC"/>
          </w:tcPr>
          <w:p>
            <w:pPr>
              <w:spacing w:after="0"/>
              <w:rPr>
                <w:sz w:val="18"/>
                <w:szCs w:val="18"/>
                <w:color w:val="auto"/>
              </w:rPr>
            </w:pPr>
          </w:p>
        </w:tc>
        <w:tc>
          <w:tcPr>
            <w:tcW w:w="226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3"/>
              </w:rPr>
              <w:t>(29,044)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(24,097)</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 outstanding, basic and</w:t>
            </w:r>
          </w:p>
        </w:tc>
        <w:tc>
          <w:tcPr>
            <w:tcW w:w="14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Pr>
          <w:p>
            <w:pPr>
              <w:ind w:left="120"/>
              <w:spacing w:after="0"/>
              <w:rPr>
                <w:sz w:val="20"/>
                <w:szCs w:val="20"/>
                <w:color w:val="auto"/>
              </w:rPr>
            </w:pPr>
            <w:r>
              <w:rPr>
                <w:rFonts w:ascii="Arial" w:cs="Arial" w:eastAsia="Arial" w:hAnsi="Arial"/>
                <w:sz w:val="16"/>
                <w:szCs w:val="16"/>
                <w:color w:val="auto"/>
              </w:rPr>
              <w:t>diluted</w:t>
            </w:r>
          </w:p>
        </w:tc>
        <w:tc>
          <w:tcPr>
            <w:tcW w:w="2260" w:type="dxa"/>
            <w:vAlign w:val="bottom"/>
            <w:gridSpan w:val="2"/>
          </w:tcPr>
          <w:p>
            <w:pPr>
              <w:jc w:val="right"/>
              <w:ind w:right="648"/>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(1.58)</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(2.69)</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(86.34)</w:t>
            </w:r>
          </w:p>
        </w:tc>
        <w:tc>
          <w:tcPr>
            <w:tcW w:w="0" w:type="dxa"/>
            <w:vAlign w:val="bottom"/>
          </w:tcPr>
          <w:p>
            <w:pPr>
              <w:spacing w:after="0"/>
              <w:rPr>
                <w:sz w:val="1"/>
                <w:szCs w:val="1"/>
                <w:color w:val="auto"/>
              </w:rPr>
            </w:pPr>
          </w:p>
        </w:tc>
      </w:tr>
      <w:tr>
        <w:trPr>
          <w:trHeight w:val="19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 outstanding, basic and</w:t>
            </w:r>
          </w:p>
        </w:tc>
        <w:tc>
          <w:tcPr>
            <w:tcW w:w="146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4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18,380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Statement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0" w:type="dxa"/>
            <w:vAlign w:val="bottom"/>
            <w:tcBorders>
              <w:right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86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00" w:type="dxa"/>
            <w:vAlign w:val="bottom"/>
            <w:tcBorders>
              <w:right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Equity (Deficit)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2016</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172,311</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(180,887)</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(177,124)</w:t>
            </w: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Issuance of Series G convertible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preferred stock, net of issuance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costs of $175</w:t>
            </w:r>
          </w:p>
        </w:tc>
        <w:tc>
          <w:tcPr>
            <w:tcW w:w="820" w:type="dxa"/>
            <w:vAlign w:val="bottom"/>
          </w:tcPr>
          <w:p>
            <w:pPr>
              <w:jc w:val="right"/>
              <w:spacing w:after="0"/>
              <w:rPr>
                <w:sz w:val="20"/>
                <w:szCs w:val="20"/>
                <w:color w:val="auto"/>
              </w:rPr>
            </w:pPr>
            <w:r>
              <w:rPr>
                <w:rFonts w:ascii="Arial" w:cs="Arial" w:eastAsia="Arial" w:hAnsi="Arial"/>
                <w:sz w:val="16"/>
                <w:szCs w:val="16"/>
                <w:color w:val="auto"/>
              </w:rPr>
              <w:t>40,584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14,825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awards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Exercises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(16,059)</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304,958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(196,946)</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(192,652)</w:t>
            </w:r>
          </w:p>
        </w:tc>
        <w:tc>
          <w:tcPr>
            <w:tcW w:w="0" w:type="dxa"/>
            <w:vAlign w:val="bottom"/>
          </w:tcPr>
          <w:p>
            <w:pPr>
              <w:spacing w:after="0"/>
              <w:rPr>
                <w:sz w:val="1"/>
                <w:szCs w:val="1"/>
                <w:color w:val="auto"/>
              </w:rPr>
            </w:pPr>
          </w:p>
        </w:tc>
      </w:tr>
      <w:tr>
        <w:trPr>
          <w:trHeight w:val="200"/>
        </w:trPr>
        <w:tc>
          <w:tcPr>
            <w:tcW w:w="4060" w:type="dxa"/>
            <w:vAlign w:val="bottom"/>
          </w:tcPr>
          <w:p>
            <w:pPr>
              <w:ind w:left="260"/>
              <w:spacing w:after="0"/>
              <w:rPr>
                <w:sz w:val="20"/>
                <w:szCs w:val="20"/>
                <w:color w:val="auto"/>
              </w:rPr>
            </w:pPr>
            <w:r>
              <w:rPr>
                <w:rFonts w:ascii="Arial" w:cs="Arial" w:eastAsia="Arial" w:hAnsi="Arial"/>
                <w:sz w:val="16"/>
                <w:szCs w:val="16"/>
                <w:color w:val="auto"/>
              </w:rPr>
              <w:t>Conversion of convertible preferred</w:t>
            </w: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stock into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(304,958)</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(187,136)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Conversion of convertible preferred</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warrants into common stock</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warrants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60"/>
              <w:spacing w:after="0"/>
              <w:rPr>
                <w:sz w:val="20"/>
                <w:szCs w:val="20"/>
                <w:color w:val="auto"/>
              </w:rPr>
            </w:pPr>
            <w:r>
              <w:rPr>
                <w:rFonts w:ascii="Arial" w:cs="Arial" w:eastAsia="Arial" w:hAnsi="Arial"/>
                <w:sz w:val="16"/>
                <w:szCs w:val="16"/>
                <w:color w:val="auto"/>
              </w:rPr>
              <w:t>Issuance of common stock in initial</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public offering, net of issuance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80"/>
              <w:spacing w:after="0"/>
              <w:rPr>
                <w:sz w:val="20"/>
                <w:szCs w:val="20"/>
                <w:color w:val="auto"/>
              </w:rPr>
            </w:pPr>
            <w:r>
              <w:rPr>
                <w:rFonts w:ascii="Arial" w:cs="Arial" w:eastAsia="Arial" w:hAnsi="Arial"/>
                <w:sz w:val="16"/>
                <w:szCs w:val="16"/>
                <w:color w:val="auto"/>
              </w:rPr>
              <w:t>costs of $3,463</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96,471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Exercises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(24,097)</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(24,097)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Balance at December 31, 2018</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291,908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(221,043)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Share-based awards and options</w:t>
            </w: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exercises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(29,044)</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(29,044)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18,645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297,753</w:t>
            </w:r>
          </w:p>
        </w:tc>
        <w:tc>
          <w:tcPr>
            <w:tcW w:w="2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(250,087</w:t>
            </w:r>
          </w:p>
        </w:tc>
        <w:tc>
          <w:tcPr>
            <w:tcW w:w="2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(29,044)</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(24,097)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(16,059)</w:t>
            </w: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Non-cash interest expense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convertible preferred stock warrant</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liability</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Cost of rental units purchased by customers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certain assets and liabilities: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Accounts receivable, net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(1,353)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Net investments in sales-type leases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(2,610)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commission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(4,468)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(565)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Accrued expenses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Deferred rent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(30,482)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(20,591)</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(11,144)</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 and capitalized software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(1,011)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(813)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(1,011)</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in initial</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public offering</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99,998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public offering costs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(3,463)</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Proceeds from exercises of stock options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Series G convertible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preferred stock, net</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Borrowings under credit facilities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debt issuance costs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10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97,038</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(Decrease) Increase in Cash and Cash Equivalents</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(28,875)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Cash and Cash Equivalents, Beginning of Year</w:t>
            </w:r>
          </w:p>
        </w:tc>
        <w:tc>
          <w:tcPr>
            <w:tcW w:w="10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104,583</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29,147</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Cash and Cash Equivalents, End of Year</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75,708</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104,583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Transfer of inventory to property and equipment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capitalized</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software in accounts payable and accrued expenses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Conversion of convertible preferred stock into common stock</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Conversion of convertible preferred stock warrants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80"/>
              <w:spacing w:after="0"/>
              <w:rPr>
                <w:sz w:val="20"/>
                <w:szCs w:val="20"/>
                <w:color w:val="auto"/>
              </w:rPr>
            </w:pPr>
            <w:r>
              <w:rPr>
                <w:rFonts w:ascii="Arial" w:cs="Arial" w:eastAsia="Arial" w:hAnsi="Arial"/>
                <w:sz w:val="16"/>
                <w:szCs w:val="16"/>
                <w:color w:val="auto"/>
              </w:rPr>
              <w:t>into common stock warrants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public offering costs included in accounts payable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accrued expenses</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260"/>
              <w:spacing w:after="0"/>
              <w:rPr>
                <w:sz w:val="20"/>
                <w:szCs w:val="20"/>
                <w:color w:val="auto"/>
              </w:rPr>
            </w:pPr>
            <w:r>
              <w:rPr>
                <w:rFonts w:ascii="Arial" w:cs="Arial" w:eastAsia="Arial" w:hAnsi="Arial"/>
                <w:sz w:val="16"/>
                <w:szCs w:val="16"/>
                <w:color w:val="auto"/>
              </w:rPr>
              <w:t>Allocation of proceeds from debt financing to convertible</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tcPr>
          <w:p>
            <w:pPr>
              <w:ind w:left="380"/>
              <w:spacing w:after="0"/>
              <w:rPr>
                <w:sz w:val="20"/>
                <w:szCs w:val="20"/>
                <w:color w:val="auto"/>
              </w:rPr>
            </w:pPr>
            <w:r>
              <w:rPr>
                <w:rFonts w:ascii="Arial" w:cs="Arial" w:eastAsia="Arial" w:hAnsi="Arial"/>
                <w:sz w:val="16"/>
                <w:szCs w:val="16"/>
                <w:color w:val="auto"/>
              </w:rPr>
              <w:t>preferred stock warrant liability</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July 2, 2018, the Company closed its initial public offering, or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The Company’s common stock is listed on the Nasdaq Global Market under the trading symbol “STIM.” In addition, immediately prior to the closing of the IPO on July 2, 2018, (i) all of the Company’s outstanding shares of convertible preferred stock converted into an aggregate 11.0 million shares of common stock;</w:t>
      </w:r>
    </w:p>
    <w:p>
      <w:pPr>
        <w:spacing w:after="0" w:line="2" w:lineRule="exact"/>
        <w:rPr>
          <w:sz w:val="20"/>
          <w:szCs w:val="20"/>
          <w:color w:val="auto"/>
        </w:rPr>
      </w:pPr>
    </w:p>
    <w:p>
      <w:pPr>
        <w:ind w:right="80" w:firstLine="8"/>
        <w:spacing w:after="0" w:line="254"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2019, the Company had cash and cash equivalents of $75.7 million and an accumulated deficit of $250.1 million. The Company incurred negative cash flows from operating activities of $30.5 million, $20.6 million and $11.1 million for the years ended December 31, 2019, 2018, and 2017, respectively.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IPO, private placements of its convertible preferred securities, borrowings under its credit facilities and revenues from sales of its products. As of December 31, 2019, the Company had $30.0 million of borrowings outstanding under its credit facility, which matures in March 2022. Management believes that the Company’s cash and cash equivalents as of December 31, 2019 and anticipated revenues from sales of its products are sufficient to fund the Company’s operations for at least the next 24 months after December 31, 2019.</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financial statements in accordance with GAAP and the rules and regulations of the United States Securities and Exchange Commission, or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271" w:lineRule="exact"/>
        <w:rPr>
          <w:sz w:val="20"/>
          <w:szCs w:val="20"/>
          <w:color w:val="auto"/>
        </w:rPr>
      </w:pPr>
    </w:p>
    <w:p>
      <w:pPr>
        <w:ind w:right="6260" w:firstLine="8"/>
        <w:spacing w:after="0" w:line="378" w:lineRule="auto"/>
        <w:tabs>
          <w:tab w:leader="none" w:pos="44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right="8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2019 and 2018, cash equivalents consisted of money market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cash is held on deposit in demand accounts at a large financial institution in amounts in excess of the Federal Deposit Insurance Corporation, or FDIC, insurance coverage limit of $250,000 per depositor, per FDIC-insured bank, per ownership category. Management has reviewed the financial statements of this institution and believes it has sufficient assets and liquidity to conduct its operations in the ordinary course of business with little or no credit risk to the Company.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"Leases"</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January 1, 2019, the Company accounts for leases in accordance with ASC Topic 842, Leases,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warehouse and office space, and office equipment pursuant to net operating leases. Operating leases where the Company is the lessor are included in revenue on the Statements of Operations.</w:t>
      </w:r>
    </w:p>
    <w:p>
      <w:pPr>
        <w:spacing w:after="0" w:line="1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From time to time the Company enters into sales-type lease arrangements that include a lessee obligation to purchase the leased equipment at the end of the lease term, automatic transfer of ownership of the leased equipment at the end of the lease, a lessee purchase option reasonably certain to be exercised, or provides for minimum lease payments with a present value equal to or exceeding substantially all of the fair value of the underlying leased equipment at the date of lease inception. Sales-type leases where the Company is the lessor are included in revenue on the Statements of Operations.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Operating leases where the Company is the lessee are included in operating lease right-of-use assets and operating lease liabilities on the Balance Sheets. The lease liabilities are initially measured at the present value of the unpaid lease payments at the lease commencement date.</w:t>
      </w:r>
    </w:p>
    <w:p>
      <w:pPr>
        <w:spacing w:after="0" w:line="17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uses the following inputs in its lease calculations under Topic 842: (1) the discount rate the Company uses to discount the unpaid lease payments to present value, (2) lease term, and (3) lease payments.</w:t>
      </w:r>
    </w:p>
    <w:p>
      <w:pPr>
        <w:spacing w:after="0" w:line="76" w:lineRule="exact"/>
        <w:rPr>
          <w:sz w:val="20"/>
          <w:szCs w:val="20"/>
          <w:color w:val="auto"/>
        </w:rPr>
      </w:pPr>
    </w:p>
    <w:p>
      <w:pPr>
        <w:ind w:left="1200" w:hanging="449"/>
        <w:spacing w:after="0" w:line="273" w:lineRule="auto"/>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83" w:lineRule="exact"/>
        <w:rPr>
          <w:rFonts w:ascii="Arial" w:cs="Arial" w:eastAsia="Arial" w:hAnsi="Arial"/>
          <w:sz w:val="17"/>
          <w:szCs w:val="17"/>
          <w:color w:val="auto"/>
        </w:rPr>
      </w:pPr>
    </w:p>
    <w:p>
      <w:pPr>
        <w:jc w:val="both"/>
        <w:ind w:left="1200" w:right="260" w:hanging="449"/>
        <w:spacing w:after="0" w:line="264"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86" w:lineRule="exact"/>
        <w:rPr>
          <w:rFonts w:ascii="Arial" w:cs="Arial" w:eastAsia="Arial" w:hAnsi="Arial"/>
          <w:sz w:val="18"/>
          <w:szCs w:val="18"/>
          <w:color w:val="auto"/>
        </w:rPr>
      </w:pPr>
    </w:p>
    <w:p>
      <w:pPr>
        <w:ind w:left="1200" w:right="220" w:hanging="449"/>
        <w:spacing w:after="0" w:line="342" w:lineRule="auto"/>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1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 collectability is not reasonably assured, the customer is placed on non-accrual status and revenue is recognized when cash payments are received.</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lease asset for sales-type leases is initially measured as the total net investment in the lease, which comprises the initial amount of the lease receivable plus the deferred initial direct costs.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operating leases where the Company is the lessee, the right-of-use, or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Lease assets for sales-type leases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As of December 31, 2019, the Company has not encountered any impairment losses.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adopted ASU 2016-02 using a modified retrospective transition approach as of the effective date as permitted by the amendments in ASU 2018-11, which provides an alternative modified retrospective transition method. As a result, the Company was not required to adjust comparative period financial information for effects of the standard or make the new required lease disclosures for periods before the date of adoption (i.e. January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The Company did not elect the practical expedient to use hindsight for leases existing at the adoption date. There was no effect of the adoption of Topic 842 on retained earnings and other components of equity as of December 31,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Inventory is stated at the lower of cost and net realizable value, with cost being determined on a first in, first out basis. The Company’s inventory is primarily comprised of finished goods.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and Capitalized Software</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Property and equipment are recorded at cost. Maintenance and repairs are charged to expense as incurred and costs of improvements and renewals are capitalized. Depreciation and amortization are recognized using the straight-line method based on the estimated useful lives of the related assets. The Company uses an estimated useful life of three years for computers and software, five years for laboratory and office equipment, six years for devices in the rental agreement program and the lesser of five years or the remaining life of the underlying facility lease for leasehold improvements.</w:t>
      </w:r>
    </w:p>
    <w:p>
      <w:pPr>
        <w:spacing w:after="0" w:line="17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Software development costs relating to assets to be sold in the normal course of business are included in research and development and are expensed as incurred until technological feasibility is established. After technological feasibility is established, material software development costs are capitalized. The Company uses an estimated useful life of two years for capitalized software and amortizes these costs beginning at the product release.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Long-lived assets, such as property and equipment, are tested for impairment when events or changes in circumstances indicate that the carrying value of the asset may not be recoverable. Impairment testing requires management to estimate the future net undiscounted cash flows of an asset using assumptions believed to be reasonable. Actual cash flows may differ from the estimates used in the impairment testing. If such assets are considered to be impaired, the Company recognizes an impairment loss when and to the extent that the estimated fair value of an asset is less than its carrying value. The Company has not recorded any impairment of its long-lived assets for the years ended December 31, 2019, 2018, and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current and previous credit facilities required the Company to issue the lender warrants to purchase the Company’s convertible preferred stock at the date of borrowing. Because the convertible preferred stock warrants were a form of a contingently redeemable instrument, they were classified as liabilities on the Company’s balance sheet. At the date of borrowing, the Company bifurcated the estimated fair value of the convertible preferred stock warrants from the proceeds from borrowing, resulting in the recognition of a debt discount, and recorded a warrant liability on its balance sheet. This warrant liability was revalued at each reporting period, with changes in fair value recorded in the Company’s statement of operations as a component of other income or expense. The valuation of the warrant liability was based upon estimates of the fair value of the underlying convertible preferred stock and the related volatility and expected term for an illiquid instrument, which could vary significantly from period to period.</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Immediately prior to the closing of the IPO on July 2, 2018, all of the Company’s outstanding convertible preferred stock warrants converted into common stock warrants. The warrant liability was remeasured at its estimated fair value and reclassified to additional paid-in capital on the Company’s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capitalizes direct costs incurred to obtain debt financing and amortizes these costs to interest expense over the term of the debt using the effective interest method. These costs are recorded as a debt discount are netted against the related debt on the Company’s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 2019, the Company adopted Topic 606 using the modified retrospective method applying the open contract practical expedient and accounted for those contracts which were not completed as of January 1, 2019 under Topic 606. Results for reporting periods beginning after January 1, 2019 are presented under Topic 606, while prior period amounts are not adjusted and continue to be reported in accordance with the Company’s historic accounting under Topic 605.</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Topic 606 on Financial Statement Line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impact to retained earnings or revenue as of January 1, 2019.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prepaid commissions expense on the balance sheet as of December 31, 2019 and the statement of operations for the year ended December 31, 2019 is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As of December 31, 2019</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Balance Without</w:t>
            </w: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Effect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r>
        <w:trPr>
          <w:trHeight w:val="142"/>
        </w:trPr>
        <w:tc>
          <w:tcPr>
            <w:tcW w:w="570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Sheet</w:t>
            </w:r>
          </w:p>
        </w:tc>
        <w:tc>
          <w:tcPr>
            <w:tcW w:w="13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auto"/>
            </w:tcBorders>
            <w:shd w:val="clear" w:color="auto" w:fill="CFF0FC"/>
          </w:tcPr>
          <w:p>
            <w:pPr>
              <w:spacing w:after="0"/>
              <w:rPr>
                <w:sz w:val="5"/>
                <w:szCs w:val="5"/>
                <w:color w:val="auto"/>
              </w:rPr>
            </w:pPr>
          </w:p>
        </w:tc>
        <w:tc>
          <w:tcPr>
            <w:tcW w:w="484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Current portion of prepaid commission expense</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center"/>
              <w:ind w:left="936"/>
              <w:spacing w:after="0"/>
              <w:rPr>
                <w:sz w:val="20"/>
                <w:szCs w:val="20"/>
                <w:color w:val="auto"/>
              </w:rPr>
            </w:pPr>
            <w:r>
              <w:rPr>
                <w:rFonts w:ascii="Arial" w:cs="Arial" w:eastAsia="Arial" w:hAnsi="Arial"/>
                <w:sz w:val="14"/>
                <w:szCs w:val="14"/>
                <w:b w:val="1"/>
                <w:bCs w:val="1"/>
                <w:color w:val="auto"/>
                <w:w w:val="92"/>
              </w:rPr>
              <w:t>Year ended December 31, 2019</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Balance Without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Effect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Income Statement</w:t>
            </w:r>
          </w:p>
        </w:tc>
        <w:tc>
          <w:tcPr>
            <w:tcW w:w="1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100" w:type="dxa"/>
            <w:vAlign w:val="bottom"/>
            <w:tcBorders>
              <w:top w:val="single" w:sz="8" w:color="auto"/>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114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42,993</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47,461</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(29,044)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(33,512)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Sales and usage-based taxes are excluded from revenues. Other than the revenue recognized under the distribution agreement disclosed below, all but an immaterial amount of the Company’s revenue is recognized at a point in time.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Formation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92" w:lineRule="exact"/>
        <w:rPr>
          <w:sz w:val="20"/>
          <w:szCs w:val="20"/>
          <w:color w:val="auto"/>
        </w:rPr>
      </w:pPr>
    </w:p>
    <w:p>
      <w:pPr>
        <w:ind w:left="1200" w:right="200" w:hanging="449"/>
        <w:spacing w:after="0" w:line="259"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delivered to the customer’s premises.</w:t>
      </w:r>
    </w:p>
    <w:p>
      <w:pPr>
        <w:spacing w:after="0" w:line="92" w:lineRule="exact"/>
        <w:rPr>
          <w:rFonts w:ascii="Arial" w:cs="Arial" w:eastAsia="Arial" w:hAnsi="Arial"/>
          <w:sz w:val="18"/>
          <w:szCs w:val="18"/>
          <w:color w:val="auto"/>
        </w:rPr>
      </w:pPr>
    </w:p>
    <w:p>
      <w:pPr>
        <w:ind w:left="1200" w:hanging="449"/>
        <w:spacing w:after="0" w:line="279" w:lineRule="auto"/>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NeuroStar Treatment Session (the “Treatment Session”) is a single use consumable that is delivered via an encrypted activation code and is required in order for a clinician to perform trans-cranial magnetic stimulation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ind w:left="1200" w:hanging="449"/>
        <w:spacing w:after="0" w:line="342" w:lineRule="auto"/>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29" w:lineRule="exact"/>
        <w:rPr>
          <w:rFonts w:ascii="Arial" w:cs="Arial" w:eastAsia="Arial" w:hAnsi="Arial"/>
          <w:sz w:val="16"/>
          <w:szCs w:val="16"/>
          <w:color w:val="auto"/>
        </w:rPr>
      </w:pPr>
    </w:p>
    <w:p>
      <w:pPr>
        <w:ind w:left="1200" w:right="40" w:hanging="449"/>
        <w:spacing w:after="0" w:line="259"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214"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two-year warranty on all new System sales which were determined to be assurance-type warranties and thus not considered a separate performance obligation. The Company accrues the cost of providing these warranties.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There is no right of return or refund for any of the Company’s products or services and the Company has elected to treat shipping and handling as a fulfillment activity and expenses the costs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Rent-to-Own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System is typically purchased but the Company does offer certain customers the option to lease instead. The Company accounts for these leases under Topic 842, </w:t>
      </w:r>
      <w:r>
        <w:rPr>
          <w:rFonts w:ascii="Arial" w:cs="Arial" w:eastAsia="Arial" w:hAnsi="Arial"/>
          <w:sz w:val="18"/>
          <w:szCs w:val="18"/>
          <w:i w:val="1"/>
          <w:iCs w:val="1"/>
          <w:color w:val="auto"/>
        </w:rPr>
        <w:t>Leases</w:t>
      </w:r>
      <w:r>
        <w:rPr>
          <w:rFonts w:ascii="Arial" w:cs="Arial" w:eastAsia="Arial" w:hAnsi="Arial"/>
          <w:sz w:val="18"/>
          <w:szCs w:val="18"/>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an exclusive distribution agreement that began in October 2017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84" w:lineRule="exact"/>
        <w:rPr>
          <w:sz w:val="20"/>
          <w:szCs w:val="20"/>
          <w:color w:val="auto"/>
        </w:rPr>
      </w:pPr>
    </w:p>
    <w:p>
      <w:pPr>
        <w:ind w:left="1200" w:hanging="44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Exclusive distribution and intellectual property license</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NeuroStar TMS Therapy System (the “System”)</w:t>
      </w:r>
    </w:p>
    <w:p>
      <w:pPr>
        <w:spacing w:after="0" w:line="117" w:lineRule="exact"/>
        <w:rPr>
          <w:rFonts w:ascii="Arial" w:cs="Arial" w:eastAsia="Arial" w:hAnsi="Arial"/>
          <w:sz w:val="18"/>
          <w:szCs w:val="18"/>
          <w:color w:val="auto"/>
        </w:rPr>
      </w:pPr>
    </w:p>
    <w:p>
      <w:pPr>
        <w:ind w:left="1200" w:hanging="44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NeuroStar Treatment Session (the “Treatment Session”)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 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 in time when delivered to the distributor.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year ended December 31, 2019 were not materially impacted by any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expects to recognize approximately the following percentages of deferred revenue by year:</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vMerge w:val="restart"/>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71"/>
        </w:trPr>
        <w:tc>
          <w:tcPr>
            <w:tcW w:w="8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38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gridSpan w:val="2"/>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Revenue recognized for the year ended December 31, 2019 that was included in the contract liability balance at the beginning of the year was $2.2 million, and primarily represented revenue earned from separately priced extended warranties, rent-to-own revenue, milestone revenue, and clinical training.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no customer accounted for more than 10% of the Company’s revenues.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Research and development activities are expensed as incurred. Costs incurred in obtaining technology licenses are charged immediately to research and development expense if the technology licensed has not reached technological feasibility and has no alternative future uses.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recognizes the grant-date fair value of share-based awards issued as compensation as expense on a straight-line basis over the requisite service period, which is generally the vesting period of the award. To date, the Company has not issued awards where vesting is subject to market conditions. There was one performance grant in 2018 to the board of directors subject to completion of the IPO, which was achieved in July 2018. The fair value of restricted stock awards and restricted stock units is estimated at the time of grant, based on the grant date fair value of the Company’s common stock. The fair value of stock options is estimated at the time of grant using the Black-Scholes option pricing model, which requires the use of inputs and assumptions such as the fair value of the underlying common stock, exercise price of the option, expected term, risk-free interest rate, expected volatility and dividend yield, the most critical of which is the fair value of the Company’s common stock prior to the IPO.</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each grant of stock options awarded during the years ended December 31, 2019, 2018, and 2017 was determined using the following methods and assumptions:</w:t>
      </w:r>
    </w:p>
    <w:p>
      <w:pPr>
        <w:spacing w:after="0" w:line="62" w:lineRule="exact"/>
        <w:rPr>
          <w:sz w:val="20"/>
          <w:szCs w:val="20"/>
          <w:color w:val="auto"/>
        </w:rPr>
      </w:pPr>
    </w:p>
    <w:p>
      <w:pPr>
        <w:ind w:left="1200" w:hanging="449"/>
        <w:spacing w:after="0" w:line="255"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Prior to the IPO, its board of directors periodically estimated the fair value of the Company’s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considering, among other things, contemporaneous valuations of its preferred and common stock prepared by an unrelated third-party valuation firm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Since the closing of the IPO, its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per share fair value of the Company’s common stock based on the closing price as reported by the Nasdaq Global Market on the date of grant.</w:t>
      </w:r>
    </w:p>
    <w:p>
      <w:pPr>
        <w:spacing w:after="0" w:line="85" w:lineRule="exact"/>
        <w:rPr>
          <w:rFonts w:ascii="Arial" w:cs="Arial" w:eastAsia="Arial" w:hAnsi="Arial"/>
          <w:sz w:val="18"/>
          <w:szCs w:val="18"/>
          <w:color w:val="auto"/>
        </w:rPr>
      </w:pPr>
    </w:p>
    <w:p>
      <w:pPr>
        <w:ind w:left="1200" w:right="80" w:hanging="449"/>
        <w:spacing w:after="0" w:line="302" w:lineRule="auto"/>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Due to the historical lack of a public market for the trading of the Company’s common stock and the lack of sufficient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company-specific historical data, the expected term of employee stock options is determined using the “simplified” method, as prescribed in SEC Staff Accounting Bulletin (SAB) No. 107 (SAB 107), whereby the expected life equals the arithmetic average of the vesting term and the original contractual term of the option. The expected term of nonemployee stock options is equal to the contractual term.</w:t>
      </w:r>
    </w:p>
    <w:p>
      <w:pPr>
        <w:spacing w:after="0" w:line="46" w:lineRule="exact"/>
        <w:rPr>
          <w:rFonts w:ascii="Arial" w:cs="Arial" w:eastAsia="Arial" w:hAnsi="Arial"/>
          <w:sz w:val="16"/>
          <w:szCs w:val="16"/>
          <w:color w:val="auto"/>
        </w:rPr>
      </w:pPr>
    </w:p>
    <w:p>
      <w:pPr>
        <w:ind w:left="1200" w:right="140" w:hanging="449"/>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interest rate payable on United States Treasury securities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grant for a period that is commensurate with the assumed expected term.</w:t>
      </w:r>
    </w:p>
    <w:p>
      <w:pPr>
        <w:spacing w:after="0" w:line="62" w:lineRule="exact"/>
        <w:rPr>
          <w:rFonts w:ascii="Arial" w:cs="Arial" w:eastAsia="Arial" w:hAnsi="Arial"/>
          <w:sz w:val="18"/>
          <w:szCs w:val="18"/>
          <w:color w:val="auto"/>
        </w:rPr>
      </w:pPr>
    </w:p>
    <w:p>
      <w:pPr>
        <w:ind w:left="1200" w:right="40" w:hanging="449"/>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expected volatility is based on historical volatilities of peer companies within the Company’s industry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commensurate with the expected term assumption, as described in SAB 107.</w:t>
      </w:r>
    </w:p>
    <w:p>
      <w:pPr>
        <w:spacing w:after="0" w:line="62" w:lineRule="exact"/>
        <w:rPr>
          <w:rFonts w:ascii="Arial" w:cs="Arial" w:eastAsia="Arial" w:hAnsi="Arial"/>
          <w:sz w:val="18"/>
          <w:szCs w:val="18"/>
          <w:color w:val="auto"/>
        </w:rPr>
      </w:pPr>
    </w:p>
    <w:p>
      <w:pPr>
        <w:ind w:left="1200" w:right="340" w:hanging="449"/>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0% because the Company has never paid, and for the foreseeable future does not expect to pay,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on its common stock.</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inputs and assumptions used to estimate the fair value of share-based payment awards represent management’s best estimates and involve inherent uncertainties and the application of management’s judgment. As a result, if factors change and management uses different inputs and assumptions, the Company’s share-based compensation expense could be materially different for future awards.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A valuation allowance is recorded to the extent it is more likely than not that some portion or all of the deferred tax assets will not be realized..</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Unrecognized income tax benefits represent income tax positions taken on income tax returns that have not been recognized in the financial statements. The Company recognizes the benefit of an income tax position only if it is more likely than not (greater than 50%) that the tax position will be sustained upon tax examination, based solely on the technical merits of the tax position. Otherwise, no benefit is recognized. The tax benefits recognized are measured based on the largest benefit that has a greater than 50% likelihood of being realized upon ultimate settlement. The Company accrues interest and related penalties are classified as income tax expense in the statements of operations. The Company does not anticipate significant changes in the amount of unrecognized income tax benefits over the next year.</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2019 and 2018, the Company had deferred tax assets of $64.2 million and $53.8 million, respectively; these deferred tax assets are primarily attributable to federal and state net operating loss carryforwards. Although the loss carryforwards are available to offset future taxable income, they will begin to expire in 2020 for state and 2023 for federal. In addition, prior ownership changes may create a limitation in the Company’s ability to use the net operating loss carryforwards for federal and state income tax purposes. These loss carryforwards have been fully offset by a valuation allowance because management does not consider realization of these deferred tax assets to be more likely than not.</w:t>
      </w:r>
    </w:p>
    <w:p>
      <w:pPr>
        <w:spacing w:after="0" w:line="173"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Corporate tax reform was enacted on December 22, 2017 and was effective for the Company for year ended December 31, 2017. The provisions of the corporate tax reform did not have any impact to the Company due to the full valuation allowance position. As a result of the reduced corporate rate, the Company’s deferred tax assets were revalued from 34% to 21%, which was fully offset by a reduction in the valuation allowance.</w:t>
      </w:r>
    </w:p>
    <w:p>
      <w:pPr>
        <w:spacing w:after="0" w:line="25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 Measurement of Credit Losses on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xml:space="preserve">). This ASU provides guidance for recognizing credit losses on financial instruments based on an estimate of current expected credit losses model. The FASB subsequently issued </w:t>
      </w:r>
      <w:r>
        <w:rPr>
          <w:rFonts w:ascii="Arial" w:cs="Arial" w:eastAsia="Arial" w:hAnsi="Arial"/>
          <w:sz w:val="17"/>
          <w:szCs w:val="17"/>
          <w:i w:val="1"/>
          <w:iCs w:val="1"/>
          <w:color w:val="auto"/>
        </w:rPr>
        <w:t>ASU 2019-04, Codification Improvements to Topic 326, Financial Instruments - Credit Losses, Topic 815,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and</w:t>
      </w:r>
      <w:r>
        <w:rPr>
          <w:rFonts w:ascii="Arial" w:cs="Arial" w:eastAsia="Arial" w:hAnsi="Arial"/>
          <w:sz w:val="17"/>
          <w:szCs w:val="17"/>
          <w:i w:val="1"/>
          <w:iCs w:val="1"/>
          <w:color w:val="auto"/>
        </w:rPr>
        <w:t xml:space="preserve"> Topic 825, Financial Instruments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ASU 2019-11</w:t>
      </w:r>
      <w:r>
        <w:rPr>
          <w:rFonts w:ascii="Arial" w:cs="Arial" w:eastAsia="Arial" w:hAnsi="Arial"/>
          <w:sz w:val="17"/>
          <w:szCs w:val="17"/>
          <w:color w:val="auto"/>
        </w:rPr>
        <w:t>,</w:t>
      </w:r>
      <w:r>
        <w:rPr>
          <w:rFonts w:ascii="Arial" w:cs="Arial" w:eastAsia="Arial" w:hAnsi="Arial"/>
          <w:sz w:val="17"/>
          <w:szCs w:val="17"/>
          <w:i w:val="1"/>
          <w:iCs w:val="1"/>
          <w:color w:val="auto"/>
        </w:rPr>
        <w:t xml:space="preserve"> Codification Improvements to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Financial Instruments - Credit Losses </w:t>
      </w:r>
      <w:r>
        <w:rPr>
          <w:rFonts w:ascii="Arial" w:cs="Arial" w:eastAsia="Arial" w:hAnsi="Arial"/>
          <w:sz w:val="17"/>
          <w:szCs w:val="17"/>
          <w:color w:val="auto"/>
        </w:rPr>
        <w:t>to clarify and address certain items related to the amendments in Topic 326.</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 provide entities that have certain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 ASU 2019-10, Topic 326, Topic 815 and Topic 842 amends the mandatory effective date for Topic 326.</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amendments are effective for fiscal years beginning after December 15, 2022 for entities that are eligible to be defined by the SEC as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2018-15, 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ASU 2018-15 is effective for fiscal years beginning after December 15, 2019 and interim periods within those fiscal years. Early adoption of the amendments is permitted including adoption in any interim period. The amendments in ASU 2018-15 should be applied either retrospectively or prospectively to all implementation costs incurred after the date of adoption. The Company adopted this standard on a prospective basis, effective January 1, 2020. There was no cumulative effect of adoption recorded within retained earnings on January 1, 2020.</w:t>
      </w:r>
    </w:p>
    <w:p>
      <w:pPr>
        <w:spacing w:after="0" w:line="291"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December 31, 2019 and 2018 due to their short-term nature. The carrying values of the Company’s current credit facility approximated its fair value as of December 31, 2019 and 2018 due to its variable interest rate.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31" w:lineRule="exact"/>
        <w:rPr>
          <w:sz w:val="20"/>
          <w:szCs w:val="20"/>
          <w:color w:val="auto"/>
        </w:rPr>
      </w:pPr>
    </w:p>
    <w:p>
      <w:pPr>
        <w:ind w:left="920" w:right="2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76" w:lineRule="exact"/>
        <w:rPr>
          <w:sz w:val="20"/>
          <w:szCs w:val="20"/>
          <w:color w:val="auto"/>
        </w:rPr>
      </w:pPr>
    </w:p>
    <w:p>
      <w:pPr>
        <w:ind w:left="920" w:right="38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carrying amounts and fair values of the Company’s financial instruments as December 31, 2019 and 2018 of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December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8"/>
          </w:tcPr>
          <w:p>
            <w:pPr>
              <w:jc w:val="center"/>
              <w:ind w:right="106"/>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392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Assets</w:t>
            </w:r>
          </w:p>
        </w:tc>
        <w:tc>
          <w:tcPr>
            <w:tcW w:w="13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6"/>
                <w:szCs w:val="16"/>
                <w:color w:val="auto"/>
              </w:rPr>
              <w:t>Money market funds (cash equivalents)</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67,650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67,650</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8"/>
          </w:tcPr>
          <w:p>
            <w:pPr>
              <w:jc w:val="center"/>
              <w:ind w:right="106"/>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392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Assets</w:t>
            </w:r>
          </w:p>
        </w:tc>
        <w:tc>
          <w:tcPr>
            <w:tcW w:w="13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6"/>
                <w:szCs w:val="16"/>
                <w:color w:val="auto"/>
              </w:rPr>
              <w:t>Money market funds (cash equivalents)</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87,062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87,062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87,062</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convertible preferred stock warrant liability was estimated using the Black-Scholes option pricing model and the following inputs and assumptions as of July 2, 2018:</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July 2, 2018</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Series E</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Series F</w:t>
            </w:r>
          </w:p>
        </w:tc>
        <w:tc>
          <w:tcPr>
            <w:tcW w:w="140" w:type="dxa"/>
            <w:vAlign w:val="bottom"/>
            <w:tcBorders>
              <w:bottom w:val="single" w:sz="8" w:color="CFF0FC"/>
            </w:tcBorders>
          </w:tcPr>
          <w:p>
            <w:pPr>
              <w:spacing w:after="0"/>
              <w:rPr>
                <w:sz w:val="13"/>
                <w:szCs w:val="13"/>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Estimated fair value of convertible preferred stock</w:t>
            </w:r>
          </w:p>
        </w:tc>
        <w:tc>
          <w:tcPr>
            <w:tcW w:w="172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26.41</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w:t>
            </w:r>
          </w:p>
        </w:tc>
        <w:tc>
          <w:tcPr>
            <w:tcW w:w="140" w:type="dxa"/>
            <w:vAlign w:val="bottom"/>
            <w:shd w:val="clear" w:color="auto" w:fill="CFF0FC"/>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price</w:t>
            </w:r>
          </w:p>
        </w:tc>
        <w:tc>
          <w:tcPr>
            <w:tcW w:w="17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19.55</w:t>
            </w:r>
          </w:p>
        </w:tc>
        <w:tc>
          <w:tcPr>
            <w:tcW w:w="2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9.73</w:t>
            </w:r>
          </w:p>
        </w:tc>
        <w:tc>
          <w:tcPr>
            <w:tcW w:w="140" w:type="dxa"/>
            <w:vAlign w:val="bottom"/>
          </w:tcPr>
          <w:p>
            <w:pPr>
              <w:spacing w:after="0"/>
              <w:rPr>
                <w:sz w:val="18"/>
                <w:szCs w:val="18"/>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Remaining term (in years)</w:t>
            </w:r>
          </w:p>
        </w:tc>
        <w:tc>
          <w:tcPr>
            <w:tcW w:w="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2.6 - 6.5</w:t>
            </w:r>
          </w:p>
        </w:tc>
        <w:tc>
          <w:tcPr>
            <w:tcW w:w="140" w:type="dxa"/>
            <w:vAlign w:val="bottom"/>
            <w:shd w:val="clear" w:color="auto" w:fill="CFF0FC"/>
          </w:tcPr>
          <w:p>
            <w:pPr>
              <w:spacing w:after="0"/>
              <w:rPr>
                <w:sz w:val="19"/>
                <w:szCs w:val="19"/>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 - 2.8%</w:t>
            </w:r>
          </w:p>
        </w:tc>
        <w:tc>
          <w:tcPr>
            <w:tcW w:w="140" w:type="dxa"/>
            <w:vAlign w:val="bottom"/>
          </w:tcPr>
          <w:p>
            <w:pPr>
              <w:spacing w:after="0"/>
              <w:rPr>
                <w:sz w:val="18"/>
                <w:szCs w:val="18"/>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Dividend yield</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Level 3 instruments measured on a recurring basis for the year ended December 31, 2018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FF0FC"/>
          </w:tcPr>
          <w:p>
            <w:pPr>
              <w:spacing w:after="0"/>
              <w:rPr>
                <w:sz w:val="18"/>
                <w:szCs w:val="18"/>
                <w:color w:val="auto"/>
              </w:rPr>
            </w:pPr>
          </w:p>
        </w:tc>
      </w:tr>
      <w:tr>
        <w:trPr>
          <w:trHeight w:val="213"/>
        </w:trPr>
        <w:tc>
          <w:tcPr>
            <w:tcW w:w="9380" w:type="dxa"/>
            <w:vAlign w:val="bottom"/>
          </w:tcPr>
          <w:p>
            <w:pPr>
              <w:ind w:left="260"/>
              <w:spacing w:after="0"/>
              <w:rPr>
                <w:sz w:val="20"/>
                <w:szCs w:val="20"/>
                <w:color w:val="auto"/>
              </w:rPr>
            </w:pPr>
            <w:r>
              <w:rPr>
                <w:rFonts w:ascii="Arial" w:cs="Arial" w:eastAsia="Arial" w:hAnsi="Arial"/>
                <w:sz w:val="16"/>
                <w:szCs w:val="16"/>
                <w:color w:val="auto"/>
              </w:rPr>
              <w:t>Change in fair value</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18"/>
                <w:szCs w:val="18"/>
                <w:color w:val="auto"/>
              </w:rPr>
            </w:pPr>
          </w:p>
        </w:tc>
      </w:tr>
      <w:tr>
        <w:trPr>
          <w:trHeight w:val="219"/>
        </w:trPr>
        <w:tc>
          <w:tcPr>
            <w:tcW w:w="9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to additional paid in capital</w:t>
            </w:r>
          </w:p>
        </w:tc>
        <w:tc>
          <w:tcPr>
            <w:tcW w:w="7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(1,874)</w:t>
            </w:r>
          </w:p>
        </w:tc>
      </w:tr>
      <w:tr>
        <w:trPr>
          <w:trHeight w:val="207"/>
        </w:trPr>
        <w:tc>
          <w:tcPr>
            <w:tcW w:w="938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7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
        </w:trPr>
        <w:tc>
          <w:tcPr>
            <w:tcW w:w="9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December 31, 2019 and 2018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Gross accounts receivable - trade</w:t>
            </w:r>
          </w:p>
        </w:tc>
        <w:tc>
          <w:tcPr>
            <w:tcW w:w="21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7,117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6,120</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Less: Allowances for doubtful accounts</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(548)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Accounts receivable, net</w:t>
            </w:r>
          </w:p>
        </w:tc>
        <w:tc>
          <w:tcPr>
            <w:tcW w:w="14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FF0FC"/>
          </w:tcPr>
          <w:p>
            <w:pPr>
              <w:spacing w:after="0"/>
              <w:rPr>
                <w:sz w:val="18"/>
                <w:szCs w:val="18"/>
                <w:color w:val="auto"/>
              </w:rPr>
            </w:pPr>
          </w:p>
        </w:tc>
        <w:tc>
          <w:tcPr>
            <w:tcW w:w="21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6,569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was $0.4 million, $0.2 million and $0.1 million for the years ended December 31, 2019,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allowance for doubtful accounts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Bad Debt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Write-offs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Balance at</w:t>
            </w:r>
          </w:p>
        </w:tc>
      </w:tr>
      <w:tr>
        <w:trPr>
          <w:trHeight w:val="149"/>
        </w:trPr>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Expense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Uncollectible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 of</w:t>
            </w:r>
          </w:p>
        </w:tc>
      </w:tr>
      <w:tr>
        <w:trPr>
          <w:trHeight w:val="171"/>
        </w:trPr>
        <w:tc>
          <w:tcPr>
            <w:tcW w:w="368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Balances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FF0FC"/>
            </w:tcBorders>
          </w:tcPr>
          <w:p>
            <w:pPr>
              <w:spacing w:after="0"/>
              <w:rPr>
                <w:sz w:val="14"/>
                <w:szCs w:val="14"/>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Year ended December 31, 2017</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(343)</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(116)</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Year ended December 31, 2018</w:t>
            </w:r>
          </w:p>
        </w:tc>
        <w:tc>
          <w:tcPr>
            <w:tcW w:w="1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(417)</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(153)</w:t>
            </w: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Year ended December 31, 2019</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(548)</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December 31, 2019 and 2018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Laboratory equipment</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Office equipment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 and software</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Manufacturing equipment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Rental equipment</w:t>
            </w:r>
          </w:p>
        </w:tc>
        <w:tc>
          <w:tcPr>
            <w:tcW w:w="15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13"/>
        </w:trPr>
        <w:tc>
          <w:tcPr>
            <w:tcW w:w="3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gross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13"/>
        </w:trPr>
        <w:tc>
          <w:tcPr>
            <w:tcW w:w="3900" w:type="dxa"/>
            <w:vAlign w:val="bottom"/>
          </w:tcPr>
          <w:p>
            <w:pPr>
              <w:ind w:left="240"/>
              <w:spacing w:after="0"/>
              <w:rPr>
                <w:sz w:val="20"/>
                <w:szCs w:val="20"/>
                <w:color w:val="auto"/>
              </w:rPr>
            </w:pPr>
            <w:r>
              <w:rPr>
                <w:rFonts w:ascii="Arial" w:cs="Arial" w:eastAsia="Arial" w:hAnsi="Arial"/>
                <w:sz w:val="16"/>
                <w:szCs w:val="16"/>
                <w:color w:val="auto"/>
              </w:rPr>
              <w:t>Less: Accumulated depreciation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(2,207)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Property and equipment, net</w:t>
            </w: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2019 and 2018, the Company had capitalized software costs, net of $1.2 million and $1.0 million, respectively, which are included in “Other assets” on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$1.1 million, $0.9 million, and $0.6 million for the years ended December 31, 2019, 2018, and 2017, respectively.</w:t>
      </w:r>
    </w:p>
    <w:p>
      <w:pPr>
        <w:spacing w:after="0" w:line="35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approximately 32,000 square foot facility in Malvern, Pennsylvania for its corporate headquarters, which includes office and warehouse space. In the first quarter of 2019, the Company signed a lease modification for its Malvern facility that extended the lease through February 2028 and included approximately 10,000 square foot of additional premises. The Company has an option to extend the lease on its combined 42,000 square foot facility for an additional five-year term; however, the Company has determined it is not reasonably certain to exercise the option at this time due to on-going personnel expansion efforts. The Company also maintains operating leases on office equipment, including copiers, which end in March 2023. The Company does not currently have any finance leases or executed leases that have not yet commenced.</w:t>
      </w:r>
    </w:p>
    <w:p>
      <w:pPr>
        <w:spacing w:after="0" w:line="18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Operating lease rent expense was $0.5 million for each of the years ended December 31, 2019, 2018, and 2017, respectively. As of December 31, 2019, the weighted-average remaining lease term of operating leases was 8.0 years and the weighted-average discount rate was 6.5%.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as a lessee related to leases (in thousands) as of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688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9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9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6880" w:type="dxa"/>
            <w:vAlign w:val="bottom"/>
          </w:tcPr>
          <w:p>
            <w:pPr>
              <w:ind w:left="4960"/>
              <w:spacing w:after="0"/>
              <w:rPr>
                <w:sz w:val="20"/>
                <w:szCs w:val="20"/>
                <w:color w:val="auto"/>
              </w:rPr>
            </w:pPr>
            <w:r>
              <w:rPr>
                <w:rFonts w:ascii="Arial" w:cs="Arial" w:eastAsia="Arial" w:hAnsi="Arial"/>
                <w:sz w:val="18"/>
                <w:szCs w:val="18"/>
                <w:color w:val="auto"/>
              </w:rPr>
              <w:t>F-19</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 as of December 31, 2019:</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Year ending December 31,</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5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(2,091)</w:t>
            </w:r>
          </w:p>
        </w:tc>
      </w:tr>
      <w:tr>
        <w:trPr>
          <w:trHeight w:val="223"/>
        </w:trPr>
        <w:tc>
          <w:tcPr>
            <w:tcW w:w="59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Present value of operating lease liabilities</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year the minimum expected lease payments under non-cancelable operating leases (in thousands) as of December 31, 2018:</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r>
      <w:tr>
        <w:trPr>
          <w:trHeight w:val="223"/>
        </w:trPr>
        <w:tc>
          <w:tcPr>
            <w:tcW w:w="8440" w:type="dxa"/>
            <w:vAlign w:val="bottom"/>
            <w:tcBorders>
              <w:top w:val="single" w:sz="8" w:color="CFF0FC"/>
            </w:tcBorders>
            <w:shd w:val="clear" w:color="auto" w:fill="CFF0FC"/>
          </w:tcPr>
          <w:p>
            <w:pPr>
              <w:jc w:val="right"/>
              <w:ind w:right="7990"/>
              <w:spacing w:after="0"/>
              <w:rPr>
                <w:sz w:val="20"/>
                <w:szCs w:val="20"/>
                <w:color w:val="auto"/>
              </w:rPr>
            </w:pPr>
            <w:r>
              <w:rPr>
                <w:rFonts w:ascii="Arial" w:cs="Arial" w:eastAsia="Arial" w:hAnsi="Arial"/>
                <w:sz w:val="18"/>
                <w:szCs w:val="18"/>
                <w:color w:val="auto"/>
                <w:w w:val="84"/>
              </w:rPr>
              <w:t>2019</w:t>
            </w: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440" w:type="dxa"/>
            <w:vAlign w:val="bottom"/>
          </w:tcPr>
          <w:p>
            <w:pPr>
              <w:jc w:val="right"/>
              <w:ind w:right="7990"/>
              <w:spacing w:after="0"/>
              <w:rPr>
                <w:sz w:val="20"/>
                <w:szCs w:val="20"/>
                <w:color w:val="auto"/>
              </w:rPr>
            </w:pPr>
            <w:r>
              <w:rPr>
                <w:rFonts w:ascii="Arial" w:cs="Arial" w:eastAsia="Arial" w:hAnsi="Arial"/>
                <w:sz w:val="18"/>
                <w:szCs w:val="18"/>
                <w:color w:val="auto"/>
                <w:w w:val="84"/>
              </w:rPr>
              <w:t>2020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jc w:val="right"/>
              <w:ind w:right="7990"/>
              <w:spacing w:after="0"/>
              <w:rPr>
                <w:sz w:val="20"/>
                <w:szCs w:val="20"/>
                <w:color w:val="auto"/>
              </w:rPr>
            </w:pPr>
            <w:r>
              <w:rPr>
                <w:rFonts w:ascii="Arial" w:cs="Arial" w:eastAsia="Arial" w:hAnsi="Arial"/>
                <w:sz w:val="18"/>
                <w:szCs w:val="18"/>
                <w:color w:val="auto"/>
                <w:w w:val="84"/>
              </w:rPr>
              <w:t>2021</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tcPr>
          <w:p>
            <w:pPr>
              <w:jc w:val="right"/>
              <w:ind w:right="6710"/>
              <w:spacing w:after="0"/>
              <w:rPr>
                <w:sz w:val="20"/>
                <w:szCs w:val="20"/>
                <w:color w:val="auto"/>
              </w:rPr>
            </w:pPr>
            <w:r>
              <w:rPr>
                <w:rFonts w:ascii="Arial" w:cs="Arial" w:eastAsia="Arial" w:hAnsi="Arial"/>
                <w:sz w:val="18"/>
                <w:szCs w:val="18"/>
                <w:color w:val="auto"/>
                <w:w w:val="94"/>
              </w:rPr>
              <w:t>Total lease payments</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sales-type leases:</w:t>
      </w:r>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costumers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4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Profit recognized at commencement, net</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sales-type lease income</w:t>
            </w: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maturity analysis of the undiscounted lease receivables related to sales-type leases (in thousands) as of December 31, 2019:</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ending December 31,</w:t>
            </w:r>
          </w:p>
        </w:tc>
      </w:tr>
      <w:tr>
        <w:trPr>
          <w:trHeight w:val="223"/>
        </w:trPr>
        <w:tc>
          <w:tcPr>
            <w:tcW w:w="5480" w:type="dxa"/>
            <w:vAlign w:val="bottom"/>
            <w:tcBorders>
              <w:top w:val="single" w:sz="8" w:color="CFF0FC"/>
            </w:tcBorders>
            <w:shd w:val="clear" w:color="auto" w:fill="CFF0FC"/>
          </w:tcPr>
          <w:p>
            <w:pPr>
              <w:jc w:val="right"/>
              <w:ind w:right="5030"/>
              <w:spacing w:after="0"/>
              <w:rPr>
                <w:sz w:val="20"/>
                <w:szCs w:val="20"/>
                <w:color w:val="auto"/>
              </w:rPr>
            </w:pPr>
            <w:r>
              <w:rPr>
                <w:rFonts w:ascii="Arial" w:cs="Arial" w:eastAsia="Arial" w:hAnsi="Arial"/>
                <w:sz w:val="18"/>
                <w:szCs w:val="18"/>
                <w:color w:val="auto"/>
                <w:w w:val="84"/>
              </w:rPr>
              <w:t>2020</w:t>
            </w:r>
          </w:p>
        </w:tc>
        <w:tc>
          <w:tcPr>
            <w:tcW w:w="29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2021</w:t>
            </w: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jc w:val="right"/>
              <w:ind w:right="5030"/>
              <w:spacing w:after="0"/>
              <w:rPr>
                <w:sz w:val="20"/>
                <w:szCs w:val="20"/>
                <w:color w:val="auto"/>
              </w:rPr>
            </w:pPr>
            <w:r>
              <w:rPr>
                <w:rFonts w:ascii="Arial" w:cs="Arial" w:eastAsia="Arial" w:hAnsi="Arial"/>
                <w:sz w:val="18"/>
                <w:szCs w:val="18"/>
                <w:color w:val="auto"/>
                <w:w w:val="84"/>
              </w:rPr>
              <w:t>2022</w:t>
            </w:r>
          </w:p>
        </w:tc>
        <w:tc>
          <w:tcPr>
            <w:tcW w:w="2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jc w:val="right"/>
              <w:ind w:right="5030"/>
              <w:spacing w:after="0"/>
              <w:rPr>
                <w:sz w:val="20"/>
                <w:szCs w:val="20"/>
                <w:color w:val="auto"/>
              </w:rPr>
            </w:pPr>
            <w:r>
              <w:rPr>
                <w:rFonts w:ascii="Arial" w:cs="Arial" w:eastAsia="Arial" w:hAnsi="Arial"/>
                <w:sz w:val="18"/>
                <w:szCs w:val="18"/>
                <w:color w:val="auto"/>
                <w:w w:val="84"/>
              </w:rPr>
              <w:t>2023</w:t>
            </w:r>
          </w:p>
        </w:tc>
        <w:tc>
          <w:tcPr>
            <w:tcW w:w="29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480" w:type="dxa"/>
            <w:vAlign w:val="bottom"/>
            <w:tcBorders>
              <w:bottom w:val="single" w:sz="8" w:color="CFF0FC"/>
            </w:tcBorders>
            <w:shd w:val="clear" w:color="auto" w:fill="CFF0FC"/>
          </w:tcPr>
          <w:p>
            <w:pPr>
              <w:jc w:val="right"/>
              <w:ind w:right="2870"/>
              <w:spacing w:after="0"/>
              <w:rPr>
                <w:sz w:val="20"/>
                <w:szCs w:val="20"/>
                <w:color w:val="auto"/>
              </w:rPr>
            </w:pPr>
            <w:r>
              <w:rPr>
                <w:rFonts w:ascii="Arial" w:cs="Arial" w:eastAsia="Arial" w:hAnsi="Arial"/>
                <w:sz w:val="18"/>
                <w:szCs w:val="18"/>
                <w:color w:val="auto"/>
                <w:w w:val="92"/>
              </w:rPr>
              <w:t>Total sales-type lease receivables</w:t>
            </w:r>
          </w:p>
        </w:tc>
        <w:tc>
          <w:tcPr>
            <w:tcW w:w="29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carrying amount of the lease receivables is $2.6 million. The Company does not have any unguaranteed residual assets.</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operating leases:</w:t>
      </w:r>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NeuroStar Advanced Therapy Systems sold on a rent-to-own basis prior to January 1, 2019 are accounted for as operating leases. For the years ended December 31, 2019, 2018, and 2017, the Company recognized operating lease income of $0.7 million, $0.9 million and $1.1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 as of December 31, 2019:</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ending December 31,</w:t>
            </w:r>
          </w:p>
        </w:tc>
      </w:tr>
      <w:tr>
        <w:trPr>
          <w:trHeight w:val="223"/>
        </w:trPr>
        <w:tc>
          <w:tcPr>
            <w:tcW w:w="8440" w:type="dxa"/>
            <w:vAlign w:val="bottom"/>
            <w:tcBorders>
              <w:top w:val="single" w:sz="8" w:color="CFF0FC"/>
            </w:tcBorders>
            <w:shd w:val="clear" w:color="auto" w:fill="CFF0FC"/>
          </w:tcPr>
          <w:p>
            <w:pPr>
              <w:jc w:val="right"/>
              <w:ind w:right="7990"/>
              <w:spacing w:after="0"/>
              <w:rPr>
                <w:sz w:val="20"/>
                <w:szCs w:val="20"/>
                <w:color w:val="auto"/>
              </w:rPr>
            </w:pPr>
            <w:r>
              <w:rPr>
                <w:rFonts w:ascii="Arial" w:cs="Arial" w:eastAsia="Arial" w:hAnsi="Arial"/>
                <w:sz w:val="18"/>
                <w:szCs w:val="18"/>
                <w:color w:val="auto"/>
                <w:w w:val="84"/>
              </w:rPr>
              <w:t>2020</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440" w:type="dxa"/>
            <w:vAlign w:val="bottom"/>
            <w:tcBorders>
              <w:bottom w:val="single" w:sz="8" w:color="CFF0FC"/>
            </w:tcBorders>
          </w:tcPr>
          <w:p>
            <w:pPr>
              <w:jc w:val="right"/>
              <w:ind w:right="7990"/>
              <w:spacing w:after="0"/>
              <w:rPr>
                <w:sz w:val="20"/>
                <w:szCs w:val="20"/>
                <w:color w:val="auto"/>
              </w:rPr>
            </w:pPr>
            <w:r>
              <w:rPr>
                <w:rFonts w:ascii="Arial" w:cs="Arial" w:eastAsia="Arial" w:hAnsi="Arial"/>
                <w:sz w:val="18"/>
                <w:szCs w:val="18"/>
                <w:color w:val="auto"/>
                <w:w w:val="84"/>
              </w:rPr>
              <w:t>2021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jc w:val="right"/>
              <w:ind w:right="6590"/>
              <w:spacing w:after="0"/>
              <w:rPr>
                <w:sz w:val="20"/>
                <w:szCs w:val="20"/>
                <w:color w:val="auto"/>
              </w:rPr>
            </w:pPr>
            <w:r>
              <w:rPr>
                <w:rFonts w:ascii="Arial" w:cs="Arial" w:eastAsia="Arial" w:hAnsi="Arial"/>
                <w:sz w:val="18"/>
                <w:szCs w:val="18"/>
                <w:color w:val="auto"/>
                <w:w w:val="94"/>
              </w:rPr>
              <w:t>Total lease receivables</w:t>
            </w: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maintained Rental Equipment, net of $0.5 million and $0.9 million, as of December 31, 2019 and 2018, respectively, which are included in “Property and equipment, net” on the balance sheet. Rental equipment depreciation expense was $0.2 million and $0.4 million for the years ended December 31, 2019 and 2018, respectively.</w:t>
      </w:r>
    </w:p>
    <w:p>
      <w:pPr>
        <w:spacing w:after="0" w:line="36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13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2019 with the adoption of Topic 606, NeuroStar Advanced Therapy System commissions are deferred and amortized on a straight-line basis over a seven year period equal to the average customer term, which the Company deems to be the expected period of benefit for these costs. As result of the modified retrospective adoption method applied to open contracts only, the beginning balance as of January 1, 2019 did not include prepaid commission expense for those contracts that were substantially complete as of December 31, 2018.</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the Company's balance sheets, the current portion of capitalized contract costs is represented by the current portion of prepaid commission expense, while the long-term portion is included in prepaid commission expense. Amortization expense was $0.4 million for the year ended December 31, 2019.</w:t>
      </w:r>
    </w:p>
    <w:p>
      <w:pPr>
        <w:spacing w:after="0" w:line="22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December 31, 2019 and 2018 (in thousands):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related benefits</w:t>
            </w:r>
          </w:p>
        </w:tc>
        <w:tc>
          <w:tcPr>
            <w:tcW w:w="22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5,724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4,909</w:t>
            </w:r>
          </w:p>
        </w:tc>
        <w:tc>
          <w:tcPr>
            <w:tcW w:w="60" w:type="dxa"/>
            <w:vAlign w:val="bottom"/>
            <w:shd w:val="clear" w:color="auto" w:fill="CFF0FC"/>
          </w:tcPr>
          <w:p>
            <w:pPr>
              <w:spacing w:after="0"/>
              <w:rPr>
                <w:sz w:val="18"/>
                <w:szCs w:val="18"/>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Consulting and professional fees</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Warranty</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Sales tax payable</w:t>
            </w: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606</w:t>
            </w:r>
          </w:p>
        </w:tc>
        <w:tc>
          <w:tcPr>
            <w:tcW w:w="60" w:type="dxa"/>
            <w:vAlign w:val="bottom"/>
          </w:tcPr>
          <w:p>
            <w:pPr>
              <w:spacing w:after="0"/>
              <w:rPr>
                <w:sz w:val="18"/>
                <w:szCs w:val="18"/>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Interest payable</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60" w:type="dxa"/>
            <w:vAlign w:val="bottom"/>
            <w:shd w:val="clear" w:color="auto" w:fill="CFF0FC"/>
          </w:tcPr>
          <w:p>
            <w:pPr>
              <w:spacing w:after="0"/>
              <w:rPr>
                <w:sz w:val="19"/>
                <w:szCs w:val="19"/>
                <w:color w:val="auto"/>
              </w:rPr>
            </w:pPr>
          </w:p>
        </w:tc>
      </w:tr>
      <w:tr>
        <w:trPr>
          <w:trHeight w:val="213"/>
        </w:trPr>
        <w:tc>
          <w:tcPr>
            <w:tcW w:w="3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60" w:type="dxa"/>
            <w:vAlign w:val="bottom"/>
            <w:tcBorders>
              <w:bottom w:val="single" w:sz="8" w:color="CFF0FC"/>
            </w:tcBorders>
          </w:tcPr>
          <w:p>
            <w:pPr>
              <w:spacing w:after="0"/>
              <w:rPr>
                <w:sz w:val="18"/>
                <w:szCs w:val="18"/>
                <w:color w:val="auto"/>
              </w:rPr>
            </w:pPr>
          </w:p>
        </w:tc>
      </w:tr>
      <w:tr>
        <w:trPr>
          <w:trHeight w:val="210"/>
        </w:trPr>
        <w:tc>
          <w:tcPr>
            <w:tcW w:w="3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w:t>
            </w:r>
          </w:p>
        </w:tc>
        <w:tc>
          <w:tcPr>
            <w:tcW w:w="228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9,031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7,548</w:t>
            </w:r>
          </w:p>
        </w:tc>
        <w:tc>
          <w:tcPr>
            <w:tcW w:w="6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December 31, 2019 and 2018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Outstanding principal</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color w:val="auto"/>
              </w:rPr>
              <w:t>Accrued final payment fees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Less debt discounts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(690)</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7"/>
        </w:trPr>
        <w:tc>
          <w:tcPr>
            <w:tcW w:w="4100" w:type="dxa"/>
            <w:vAlign w:val="bottom"/>
          </w:tcPr>
          <w:p>
            <w:pPr>
              <w:ind w:left="240"/>
              <w:spacing w:after="0"/>
              <w:rPr>
                <w:sz w:val="20"/>
                <w:szCs w:val="20"/>
                <w:color w:val="auto"/>
              </w:rPr>
            </w:pPr>
            <w:r>
              <w:rPr>
                <w:rFonts w:ascii="Arial" w:cs="Arial" w:eastAsia="Arial" w:hAnsi="Arial"/>
                <w:sz w:val="16"/>
                <w:szCs w:val="16"/>
                <w:color w:val="auto"/>
              </w:rPr>
              <w:t>Total long-term debt, net</w:t>
            </w:r>
          </w:p>
        </w:tc>
        <w:tc>
          <w:tcPr>
            <w:tcW w:w="1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31,148</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Less current portion of long-term debt</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(11,250)</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40"/>
              <w:spacing w:after="0"/>
              <w:rPr>
                <w:sz w:val="20"/>
                <w:szCs w:val="20"/>
                <w:color w:val="auto"/>
              </w:rPr>
            </w:pPr>
            <w:r>
              <w:rPr>
                <w:rFonts w:ascii="Arial" w:cs="Arial" w:eastAsia="Arial" w:hAnsi="Arial"/>
                <w:sz w:val="16"/>
                <w:szCs w:val="16"/>
                <w:color w:val="auto"/>
              </w:rPr>
              <w:t>Long-term debt, net</w:t>
            </w: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00" w:type="dxa"/>
            <w:vAlign w:val="bottom"/>
            <w:vMerge w:val="continue"/>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19,898</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30,395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2019, the Company recognized interest expense of $3.7 million, which $2.9 million was cash and $0.8 million was non-cash interest expense related to the amortization of deferred debt issuance costs and accrual of final payment fees.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2018, the Company recognized interest expense of $3.7 million, of which $2.9 million was cash and $0.8 million was non-cash interest expense related to the amortization of deferred debt issuance costs and accrual of final payment fees.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2017, the Company recognized interest expense of $2.8 million, of which $2.1 million was cash and $0.7 million was non-cash interest expense related to the amortization of deferred debt issuance costs and accrual of final payment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Credit Facility</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March 2017, the Company entered into a new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Oxford if it elected to borrow the Term C Loan. As a result of completing its IPO on July 2, 2018 and receiving the net proceeds therefrom, the Company elected not to borrow the additional $5.0 million, and it is no longer available to the Company. Each term loan accrues interest from the date of borrowing through the date of repayment at a floating per annum rate of interest, which resets monthly and is equal to the greater of (a) 8.15% or (b) the 30-day U.S. LIBOR on the last business day of the month plus 7.38%. The Company was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December 31, 2018, the Company had borrowed and had outstanding an aggregate of $30.0 million of principal under the credit facility.</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Term A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the Company will be required to make monthly payments of principal and interest based on a 24-month amortization schedule. In connection with the drawdown of the Term A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March 2024.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Term B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fourth quarter of 2018, the interest-only period was extended for an additional 12 months through March 2020, after which time the Company will be required to make monthly payments of principal and interest based on a 24-month amortization schedule. In connection with the drawdown of the Term B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December 2024.</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principal and interest payments due under the credit facility, the Company is required to make final payment fees to Oxford due upon the earlier of prepayment or maturity of each tranche, which increased as a result the extension of the interest-only period and are now equal to 8.5% and 7.5% of the principal amounts of the Term A Loan and Term B Loan, respectively. The Company accrues the estimated final payment fees using the effective interest rate, with a charge to non-cash interest expense, over the term of borrowing for each tranche. As of December 31, 2018 and 2019, the effective interest rates for the Term A Loan and Term B Loan were 11.87% and 12.14%, respectively. If the Company prepays its term loans prior to their respective scheduled maturities, it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Oxford each year for the life of the credit facility, as well as customary affirmative and negative covenants. The Company was in compliance with all of the covenants under its credit facility as of December 31, 2019.</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a 24-month amortization of the outstanding principal amounts of the Term A Loan and Term B Loan beginning on April 1, 2020 as discussed above, the following table sets forth by year the Company’s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2020</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00" w:type="dxa"/>
            <w:vAlign w:val="bottom"/>
            <w:gridSpan w:val="2"/>
          </w:tcPr>
          <w:p>
            <w:pPr>
              <w:ind w:left="240"/>
              <w:spacing w:after="0"/>
              <w:rPr>
                <w:sz w:val="20"/>
                <w:szCs w:val="20"/>
                <w:color w:val="auto"/>
              </w:rPr>
            </w:pPr>
            <w:r>
              <w:rPr>
                <w:rFonts w:ascii="Arial" w:cs="Arial" w:eastAsia="Arial" w:hAnsi="Arial"/>
                <w:sz w:val="16"/>
                <w:szCs w:val="16"/>
                <w:color w:val="auto"/>
              </w:rPr>
              <w:t>Total principal payments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$25.0 Million Credit Facility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March 2017, the Company had a $25.0 million credit facility in place with Oxford, which it entered into in February 2014 and which allowed it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the Company was also required to issue convertible preferred stock warrants to Oxford at the time of borrowing of each tranche. These convertible preferred stock warrants converted into common stock warrants immediately prior to the closing of the Company’s IPO on July 2, 2018.</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principal and interest payments due under the previous $25.0 million credit facility, the Company was required to make final payment fees to Oxford upon the earlier of prepayment or maturity and equal to 8.5% and 4.7% of the principal amounts of the Term A Loan and Term B Loan, respectively. The Company accrued final payment fees using the effective interest rate, with a charge to non-cash interest expense, over the term of borrowing and until its entry into the current credit facility in March 2017, at which time the Company paid Oxford $1.0 million in satisfaction of all final payment fee liabilities due under the prior credit facility.</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evaluated whether the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management accounted for the transaction as a debt modification. As of March 2017, the unamortized balance of deferred debt issuance costs incurred in connection with the $25.0 million credit facility, and certain additional deferred debt issuance costs incurred in connection with entry into the current credit facility, are being amortized to interest expense through March 2022 utilizing the effective interest method.</w:t>
      </w:r>
    </w:p>
    <w:p>
      <w:pPr>
        <w:spacing w:after="0" w:line="262" w:lineRule="exact"/>
        <w:rPr>
          <w:sz w:val="20"/>
          <w:szCs w:val="20"/>
          <w:color w:val="auto"/>
        </w:rPr>
      </w:pPr>
    </w:p>
    <w:p>
      <w:pPr>
        <w:ind w:right="4940" w:firstLine="8"/>
        <w:spacing w:after="0" w:line="378" w:lineRule="auto"/>
        <w:tabs>
          <w:tab w:leader="none" w:pos="44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Initial Public Offering</w:t>
      </w:r>
    </w:p>
    <w:p>
      <w:pPr>
        <w:ind w:right="40"/>
        <w:spacing w:after="0" w:line="271" w:lineRule="auto"/>
        <w:rPr>
          <w:sz w:val="20"/>
          <w:szCs w:val="20"/>
          <w:color w:val="auto"/>
        </w:rPr>
      </w:pPr>
      <w:r>
        <w:rPr>
          <w:rFonts w:ascii="Arial" w:cs="Arial" w:eastAsia="Arial" w:hAnsi="Arial"/>
          <w:sz w:val="17"/>
          <w:szCs w:val="17"/>
          <w:color w:val="auto"/>
        </w:rPr>
        <w:t>On July 2, 2018, the Company closed its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In addition, immediately prior to the closing of the IPO on July 2, 2018, (i) all of the Company’s outstanding shares of convertible preferred stock converted into an aggregate of 11.0 million shares of common stock; (ii) 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amended and restated certificate of incorporation as of December 31, 2019 authorized the issuance of 200.0 million shares of common stock, $0.01 par value per share, of which 18.645 million were issued and outstanding as of December 31, 2019.</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the IPO, the Company was required to reserve and keep available out of its authorized but unissued shares of common stock a number of shares sufficient to effect the conversion into common stock of all outstanding shares of convertible preferred stock and convertible preferred stock warrants, convertible preferred stock or common stock warrants issuable upon borrowing the Term C Loan under the current credit facility, stock options granted and shares available for grant under its stock incentive plan.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December 31, 2019 and 2018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Shares of common stock issued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17,744</w:t>
            </w:r>
          </w:p>
        </w:tc>
        <w:tc>
          <w:tcPr>
            <w:tcW w:w="60" w:type="dxa"/>
            <w:vAlign w:val="bottom"/>
            <w:shd w:val="clear" w:color="auto" w:fill="CFF0FC"/>
          </w:tcPr>
          <w:p>
            <w:pPr>
              <w:spacing w:after="0"/>
              <w:rPr>
                <w:sz w:val="18"/>
                <w:szCs w:val="18"/>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Shares of common stock reserved for issuance for: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warrants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Stock options 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2,415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2,711</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Restricted stock units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60" w:type="dxa"/>
            <w:vAlign w:val="bottom"/>
            <w:shd w:val="clear" w:color="auto" w:fill="CFF0FC"/>
          </w:tcPr>
          <w:p>
            <w:pPr>
              <w:spacing w:after="0"/>
              <w:rPr>
                <w:sz w:val="19"/>
                <w:szCs w:val="19"/>
                <w:color w:val="auto"/>
              </w:rPr>
            </w:pPr>
          </w:p>
        </w:tc>
      </w:tr>
      <w:tr>
        <w:trPr>
          <w:trHeight w:val="206"/>
        </w:trPr>
        <w:tc>
          <w:tcPr>
            <w:tcW w:w="5520" w:type="dxa"/>
            <w:vAlign w:val="bottom"/>
          </w:tcPr>
          <w:p>
            <w:pPr>
              <w:ind w:left="240"/>
              <w:spacing w:after="0"/>
              <w:rPr>
                <w:sz w:val="20"/>
                <w:szCs w:val="20"/>
                <w:color w:val="auto"/>
              </w:rPr>
            </w:pPr>
            <w:r>
              <w:rPr>
                <w:rFonts w:ascii="Arial" w:cs="Arial" w:eastAsia="Arial" w:hAnsi="Arial"/>
                <w:sz w:val="16"/>
                <w:szCs w:val="16"/>
                <w:color w:val="auto"/>
              </w:rPr>
              <w:t>Shares available for grant under stock incentive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520" w:type="dxa"/>
            <w:vAlign w:val="bottom"/>
          </w:tcPr>
          <w:p>
            <w:pPr>
              <w:ind w:left="380"/>
              <w:spacing w:after="0"/>
              <w:rPr>
                <w:sz w:val="20"/>
                <w:szCs w:val="20"/>
                <w:color w:val="auto"/>
              </w:rPr>
            </w:pPr>
            <w:r>
              <w:rPr>
                <w:rFonts w:ascii="Arial" w:cs="Arial" w:eastAsia="Arial" w:hAnsi="Arial"/>
                <w:sz w:val="16"/>
                <w:szCs w:val="16"/>
                <w:color w:val="auto"/>
              </w:rPr>
              <w:t>plan</w:t>
            </w:r>
          </w:p>
        </w:tc>
        <w:tc>
          <w:tcPr>
            <w:tcW w:w="1080" w:type="dxa"/>
            <w:vAlign w:val="bottom"/>
          </w:tcPr>
          <w:p>
            <w:pPr>
              <w:jc w:val="right"/>
              <w:spacing w:after="0"/>
              <w:rPr>
                <w:sz w:val="20"/>
                <w:szCs w:val="20"/>
                <w:color w:val="auto"/>
              </w:rPr>
            </w:pPr>
            <w:r>
              <w:rPr>
                <w:rFonts w:ascii="Arial" w:cs="Arial" w:eastAsia="Arial" w:hAnsi="Arial"/>
                <w:sz w:val="16"/>
                <w:szCs w:val="16"/>
                <w:color w:val="auto"/>
              </w:rPr>
              <w:t>1,215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w:t>
            </w: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available for sale under employee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5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plan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60" w:type="dxa"/>
            <w:vAlign w:val="bottom"/>
            <w:shd w:val="clear" w:color="auto" w:fill="CFF0FC"/>
          </w:tcPr>
          <w:p>
            <w:pPr>
              <w:spacing w:after="0"/>
              <w:rPr>
                <w:sz w:val="18"/>
                <w:szCs w:val="18"/>
                <w:color w:val="auto"/>
              </w:rPr>
            </w:pPr>
          </w:p>
        </w:tc>
      </w:tr>
      <w:tr>
        <w:trPr>
          <w:trHeight w:val="200"/>
        </w:trPr>
        <w:tc>
          <w:tcPr>
            <w:tcW w:w="5520" w:type="dxa"/>
            <w:vAlign w:val="bottom"/>
          </w:tcPr>
          <w:p>
            <w:pPr>
              <w:ind w:left="500"/>
              <w:spacing w:after="0"/>
              <w:rPr>
                <w:sz w:val="20"/>
                <w:szCs w:val="20"/>
                <w:color w:val="auto"/>
              </w:rPr>
            </w:pPr>
            <w:r>
              <w:rPr>
                <w:rFonts w:ascii="Arial" w:cs="Arial" w:eastAsia="Arial" w:hAnsi="Arial"/>
                <w:sz w:val="16"/>
                <w:szCs w:val="16"/>
                <w:color w:val="auto"/>
              </w:rPr>
              <w:t>Total shares of common stock issued and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520" w:type="dxa"/>
            <w:vAlign w:val="bottom"/>
          </w:tcPr>
          <w:p>
            <w:pPr>
              <w:ind w:left="620"/>
              <w:spacing w:after="0"/>
              <w:rPr>
                <w:sz w:val="20"/>
                <w:szCs w:val="20"/>
                <w:color w:val="auto"/>
              </w:rPr>
            </w:pPr>
            <w:r>
              <w:rPr>
                <w:rFonts w:ascii="Arial" w:cs="Arial" w:eastAsia="Arial" w:hAnsi="Arial"/>
                <w:sz w:val="16"/>
                <w:szCs w:val="16"/>
                <w:color w:val="auto"/>
              </w:rPr>
              <w:t>reserved for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22,159</w:t>
            </w:r>
          </w:p>
        </w:tc>
        <w:tc>
          <w:tcPr>
            <w:tcW w:w="6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filing of the July 2, 2018 amended certificate of incorporation, the Company’s amended certificate of incorporation authorized the issuance of 308.6 million shares of convertible preferred stock, $0.01 par value per share, of which the Company had designated and issued Series A-1, Series A-2, Series B, Series C, Series D, Series E, Series F and Series G shares. Series A-1 through Series E shares of convertible preferred stock are referred to collectively as Junior Securities and are subordinate to shares of Series G and Series F convertible preferred stock. All of the Company’s convertible preferred stock was classified outside of stockholders’ equity (deficit) because the shares contained deemed liquidation rights that were a contingent redemption feature not solely within the control of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share and series of convertible preferred stock was convertible into common stock at any time at the option of the holder thereof at the conversion price then in effect (each subject to adjustments upon the occurrence of certain dilutive events). As of July 2, 2018, the conversion price for Series A-1, Series D, Series E, Series F and Series G shares was equal to the original issue price, resulting in a common stock conversion ratio of 1:0.0345. As of July 2, 2018, as a result of past anti-dilution adjustments, the conversion price for Series A-2, Series B and Series C shares was below the original issue price, resulting in common stock conversion ratios of 1:0.03539, 1:0.04103 and 1:0.05071, respectively. Immediately prior to the closing of the IPO on July 2, 2018, all of the Company’s outstanding shares of convertible preferred stock converted into 11.0 million shares of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December 31, 2019 and 2018:</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vMerge w:val="restart"/>
          </w:tcPr>
          <w:p>
            <w:pPr>
              <w:jc w:val="right"/>
              <w:ind w:right="880"/>
              <w:spacing w:after="0"/>
              <w:rPr>
                <w:sz w:val="20"/>
                <w:szCs w:val="20"/>
                <w:color w:val="auto"/>
              </w:rPr>
            </w:pPr>
            <w:r>
              <w:rPr>
                <w:rFonts w:ascii="Arial" w:cs="Arial" w:eastAsia="Arial" w:hAnsi="Arial"/>
                <w:sz w:val="14"/>
                <w:szCs w:val="14"/>
                <w:b w:val="1"/>
                <w:bCs w:val="1"/>
                <w:color w:val="auto"/>
              </w:rPr>
              <w:t>Exercise Price</w:t>
            </w:r>
          </w:p>
        </w:tc>
        <w:tc>
          <w:tcPr>
            <w:tcW w:w="400" w:type="dxa"/>
            <w:vAlign w:val="bottom"/>
            <w:vMerge w:val="restart"/>
          </w:tcPr>
          <w:p>
            <w:pPr>
              <w:spacing w:after="0"/>
              <w:rPr>
                <w:sz w:val="12"/>
                <w:szCs w:val="12"/>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FF0FC"/>
            </w:tcBorders>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w:t>
            </w:r>
          </w:p>
        </w:tc>
        <w:tc>
          <w:tcPr>
            <w:tcW w:w="4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Dec-2022</w:t>
            </w:r>
          </w:p>
        </w:tc>
        <w:tc>
          <w:tcPr>
            <w:tcW w:w="0" w:type="dxa"/>
            <w:vAlign w:val="bottom"/>
          </w:tcPr>
          <w:p>
            <w:pPr>
              <w:spacing w:after="0"/>
              <w:rPr>
                <w:sz w:val="1"/>
                <w:szCs w:val="1"/>
                <w:color w:val="auto"/>
              </w:rPr>
            </w:pPr>
          </w:p>
        </w:tc>
      </w:tr>
      <w:tr>
        <w:trPr>
          <w:trHeight w:val="213"/>
        </w:trPr>
        <w:tc>
          <w:tcPr>
            <w:tcW w:w="272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9.73</w:t>
            </w:r>
          </w:p>
        </w:tc>
        <w:tc>
          <w:tcPr>
            <w:tcW w:w="4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0"/>
              </w:rPr>
              <w:t>Feb-2021</w:t>
            </w:r>
          </w:p>
        </w:tc>
        <w:tc>
          <w:tcPr>
            <w:tcW w:w="0" w:type="dxa"/>
            <w:vAlign w:val="bottom"/>
          </w:tcPr>
          <w:p>
            <w:pPr>
              <w:spacing w:after="0"/>
              <w:rPr>
                <w:sz w:val="1"/>
                <w:szCs w:val="1"/>
                <w:color w:val="auto"/>
              </w:rPr>
            </w:pPr>
          </w:p>
        </w:tc>
      </w:tr>
      <w:tr>
        <w:trPr>
          <w:trHeight w:val="219"/>
        </w:trPr>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400" w:type="dxa"/>
            <w:vAlign w:val="bottom"/>
            <w:shd w:val="clear" w:color="auto" w:fill="CFF0FC"/>
          </w:tcPr>
          <w:p>
            <w:pPr>
              <w:spacing w:after="0"/>
              <w:rPr>
                <w:sz w:val="19"/>
                <w:szCs w:val="19"/>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Aug-2023</w:t>
            </w:r>
          </w:p>
        </w:tc>
        <w:tc>
          <w:tcPr>
            <w:tcW w:w="0" w:type="dxa"/>
            <w:vAlign w:val="bottom"/>
          </w:tcPr>
          <w:p>
            <w:pPr>
              <w:spacing w:after="0"/>
              <w:rPr>
                <w:sz w:val="1"/>
                <w:szCs w:val="1"/>
                <w:color w:val="auto"/>
              </w:rPr>
            </w:pPr>
          </w:p>
        </w:tc>
      </w:tr>
      <w:tr>
        <w:trPr>
          <w:trHeight w:val="213"/>
        </w:trPr>
        <w:tc>
          <w:tcPr>
            <w:tcW w:w="2720" w:type="dxa"/>
            <w:vAlign w:val="bottom"/>
          </w:tcPr>
          <w:p>
            <w:pPr>
              <w:jc w:val="right"/>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9.73</w:t>
            </w:r>
          </w:p>
        </w:tc>
        <w:tc>
          <w:tcPr>
            <w:tcW w:w="4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3"/>
              </w:rPr>
              <w:t>Mar-2024</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4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Dec-2024</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33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potentially dilutive securities outstanding as of December 31, 2019, 2018, and 2017 have been excluded from the denominator of the diluted loss per share of common stock outstanding calculation (in thousands):</w:t>
      </w:r>
    </w:p>
    <w:p>
      <w:pPr>
        <w:spacing w:after="0" w:line="23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options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2,415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80" w:type="dxa"/>
            <w:vAlign w:val="bottom"/>
            <w:shd w:val="clear" w:color="auto" w:fill="CFF0FC"/>
          </w:tcPr>
          <w:p>
            <w:pPr>
              <w:spacing w:after="0"/>
              <w:rPr>
                <w:sz w:val="18"/>
                <w:szCs w:val="18"/>
                <w:color w:val="auto"/>
              </w:rPr>
            </w:pPr>
          </w:p>
        </w:tc>
      </w:tr>
      <w:tr>
        <w:trPr>
          <w:trHeight w:val="213"/>
        </w:trPr>
        <w:tc>
          <w:tcPr>
            <w:tcW w:w="6100" w:type="dxa"/>
            <w:vAlign w:val="bottom"/>
            <w:gridSpan w:val="3"/>
          </w:tcPr>
          <w:p>
            <w:pPr>
              <w:spacing w:after="0"/>
              <w:rPr>
                <w:sz w:val="20"/>
                <w:szCs w:val="20"/>
                <w:color w:val="auto"/>
              </w:rPr>
            </w:pPr>
            <w:r>
              <w:rPr>
                <w:rFonts w:ascii="Arial" w:cs="Arial" w:eastAsia="Arial" w:hAnsi="Arial"/>
                <w:sz w:val="16"/>
                <w:szCs w:val="16"/>
                <w:color w:val="auto"/>
              </w:rPr>
              <w:t>Non-vested restricted stock awards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Non-vested restricted stock units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6100" w:type="dxa"/>
            <w:vAlign w:val="bottom"/>
            <w:gridSpan w:val="3"/>
          </w:tcPr>
          <w:p>
            <w:pPr>
              <w:spacing w:after="0"/>
              <w:rPr>
                <w:sz w:val="20"/>
                <w:szCs w:val="20"/>
                <w:color w:val="auto"/>
              </w:rPr>
            </w:pPr>
            <w:r>
              <w:rPr>
                <w:rFonts w:ascii="Arial" w:cs="Arial" w:eastAsia="Arial" w:hAnsi="Arial"/>
                <w:sz w:val="16"/>
                <w:szCs w:val="16"/>
                <w:color w:val="auto"/>
              </w:rPr>
              <w:t>Convertible preferred stock warrants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0"/>
        </w:trPr>
        <w:tc>
          <w:tcPr>
            <w:tcW w:w="6100" w:type="dxa"/>
            <w:vAlign w:val="bottom"/>
            <w:gridSpan w:val="3"/>
          </w:tcPr>
          <w:p>
            <w:pPr>
              <w:spacing w:after="0"/>
              <w:rPr>
                <w:sz w:val="20"/>
                <w:szCs w:val="20"/>
                <w:color w:val="auto"/>
              </w:rPr>
            </w:pPr>
            <w:r>
              <w:rPr>
                <w:rFonts w:ascii="Arial" w:cs="Arial" w:eastAsia="Arial" w:hAnsi="Arial"/>
                <w:sz w:val="16"/>
                <w:szCs w:val="16"/>
                <w:color w:val="auto"/>
              </w:rPr>
              <w:t>Shares of convertible preferred stock “as-converted”</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10,994</w:t>
            </w:r>
          </w:p>
        </w:tc>
        <w:tc>
          <w:tcPr>
            <w:tcW w:w="80" w:type="dxa"/>
            <w:vAlign w:val="bottom"/>
          </w:tcPr>
          <w:p>
            <w:pPr>
              <w:spacing w:after="0"/>
              <w:rPr>
                <w:sz w:val="18"/>
                <w:szCs w:val="18"/>
                <w:color w:val="auto"/>
              </w:rPr>
            </w:pPr>
          </w:p>
        </w:tc>
      </w:tr>
    </w:tbl>
    <w:p>
      <w:pPr>
        <w:spacing w:after="0" w:line="33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years ended December 31, 2019, 2018, and 2017 is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25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1,339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1,596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w:t>
            </w:r>
          </w:p>
        </w:tc>
        <w:tc>
          <w:tcPr>
            <w:tcW w:w="18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vMerge w:val="continue"/>
            <w:shd w:val="clear" w:color="auto" w:fill="CFF0FC"/>
          </w:tcPr>
          <w:p>
            <w:pPr>
              <w:spacing w:after="0"/>
              <w:rPr>
                <w:sz w:val="18"/>
                <w:szCs w:val="18"/>
                <w:color w:val="auto"/>
              </w:rPr>
            </w:pPr>
          </w:p>
        </w:tc>
        <w:tc>
          <w:tcPr>
            <w:tcW w:w="25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3,434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on the date of grant,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December 31, 2019, there were 1.2 million shares available for future issuance under the 2018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Stock Incentive Plan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2003 (and as subsequently amended), the Company adopted the 2003 Stock Incentive Plan, or 2003 Plan, which authorized the issuance of up to 3.1 million shares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estimated fair value, as determined by the board of directors, of the underlying common stock on the date of the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December 31, 2018, there were no shares available for future issuance under the 2003 Plan. As of the closing of the IPO, all shares available for issuance under the 2003 Plan were carried over to the newly adopted 2018 Plan.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years ended December 31, 2019,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per Option</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Outstanding at December 31, 2016</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967</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December 31,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December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2,711</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856</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14.27</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(273)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Exercisable at December 31, 2019</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2,647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FF0FC"/>
            </w:tcBorders>
            <w:vMerge w:val="continue"/>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gridSpan w:val="2"/>
            <w:vMerge w:val="continue"/>
          </w:tcPr>
          <w:p>
            <w:pPr>
              <w:spacing w:after="0"/>
              <w:rPr>
                <w:sz w:val="20"/>
                <w:szCs w:val="20"/>
                <w:color w:val="auto"/>
              </w:rPr>
            </w:pPr>
          </w:p>
        </w:tc>
        <w:tc>
          <w:tcPr>
            <w:tcW w:w="920" w:type="dxa"/>
            <w:vAlign w:val="bottom"/>
            <w:tcBorders>
              <w:bottom w:val="single" w:sz="8" w:color="CFF0FC"/>
            </w:tcBorders>
            <w:vMerge w:val="continue"/>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CFF0FC"/>
            </w:tcBorders>
            <w:gridSpan w:val="2"/>
            <w:vMerge w:val="continue"/>
          </w:tcPr>
          <w:p>
            <w:pPr>
              <w:spacing w:after="0"/>
              <w:rPr>
                <w:sz w:val="20"/>
                <w:szCs w:val="20"/>
                <w:color w:val="auto"/>
              </w:rPr>
            </w:pPr>
          </w:p>
        </w:tc>
        <w:tc>
          <w:tcPr>
            <w:tcW w:w="980" w:type="dxa"/>
            <w:vAlign w:val="bottom"/>
            <w:tcBorders>
              <w:bottom w:val="single" w:sz="8" w:color="CFF0FC"/>
            </w:tcBorders>
            <w:vMerge w:val="continue"/>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Vested and expected to vest at December 31, 2019</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2,992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recognized share-based compensation expense related to stock options of $2.2 million, $1.6 million, $0.4 million for the years ended December 31, 2019, 2018, and 2017, respectively. As of December 31, 2019, there was $6.4 million of total unrecognized compensation cost related to non-vested stock options which the Company expects to recognize over a weighted-average period of 3.0 years. The weighted-average grant-date fair value of stock options granted during the years ended December 31, 2019, 2018, and 2017 was estimated at $7.69, $5.03, and $1.45 per option. The total intrinsic value of stock options exercised during the years ended December 31, 2019, 2018, and 2017 was $10.8 million, $3.3 million, and $0.1 million,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years ended December 31, 2019, 2018, and 2017, the grant-date fair value of stock options was estimated at the time of grant using the following weighted-average inputs and assumptions in the Black-Scholes option pricing model:</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Estimated fair value of common stock</w:t>
            </w:r>
          </w:p>
        </w:tc>
        <w:tc>
          <w:tcPr>
            <w:tcW w:w="2060" w:type="dxa"/>
            <w:vAlign w:val="bottom"/>
            <w:gridSpan w:val="2"/>
            <w:shd w:val="clear" w:color="auto" w:fill="CFF0FC"/>
          </w:tcPr>
          <w:p>
            <w:pPr>
              <w:jc w:val="right"/>
              <w:ind w:right="508"/>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14.27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206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w w:val="89"/>
              </w:rPr>
              <w:t>14.27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9"/>
                <w:szCs w:val="19"/>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48.0%</w:t>
            </w:r>
          </w:p>
        </w:tc>
      </w:tr>
      <w:tr>
        <w:trPr>
          <w:trHeight w:val="210"/>
        </w:trPr>
        <w:tc>
          <w:tcPr>
            <w:tcW w:w="386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Company’s restricted stock award and restricted stock unit activity for the years ended December 31, 2019, 2018, and 2017:</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Non-vested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Non-vested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53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Grant-date</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Grant-date</w:t>
            </w:r>
          </w:p>
        </w:tc>
      </w:tr>
      <w:tr>
        <w:trPr>
          <w:trHeight w:val="171"/>
        </w:trPr>
        <w:tc>
          <w:tcPr>
            <w:tcW w:w="53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4"/>
                <w:szCs w:val="14"/>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Non-vested at December 31, 2016</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07"/>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Non-vested at December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r>
      <w:tr>
        <w:trPr>
          <w:trHeight w:val="213"/>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25.21</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r>
      <w:tr>
        <w:trPr>
          <w:trHeight w:val="21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534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7"/>
                <w:szCs w:val="17"/>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120" w:type="dxa"/>
            <w:vAlign w:val="bottom"/>
            <w:shd w:val="clear" w:color="auto" w:fill="CFF0FC"/>
          </w:tcPr>
          <w:p>
            <w:pPr>
              <w:spacing w:after="0"/>
              <w:rPr>
                <w:sz w:val="19"/>
                <w:szCs w:val="19"/>
                <w:color w:val="auto"/>
              </w:rPr>
            </w:pPr>
          </w:p>
        </w:tc>
      </w:tr>
      <w:tr>
        <w:trPr>
          <w:trHeight w:val="213"/>
        </w:trPr>
        <w:tc>
          <w:tcPr>
            <w:tcW w:w="53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18"/>
                <w:szCs w:val="18"/>
                <w:color w:val="auto"/>
              </w:rPr>
            </w:pPr>
          </w:p>
        </w:tc>
      </w:tr>
      <w:tr>
        <w:trPr>
          <w:trHeight w:val="210"/>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15.23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recognized share-based compensation expense related to restricted stock awards and restricted stock units of $1.2 million, $0.2 million, and $0.1 million during the years ended December 31, 2019, 2018, and 2017, respectively. As of December 31, 2019, there was $2.8 million of unrecognized compensation cost related to non-vested restricted stock units which the Company expects to recognize over a weighted-average period of 2.2 years. The total fair value at the vesting date of restricted stock awards and restricted stock units vested during the years ended December 31, 2019, 2018, and 2017 was $0.3 million, $0.2 million, and $0.1 million, respectively.</w:t>
      </w:r>
    </w:p>
    <w:p>
      <w:pPr>
        <w:spacing w:after="0" w:line="292" w:lineRule="exact"/>
        <w:rPr>
          <w:sz w:val="20"/>
          <w:szCs w:val="20"/>
          <w:color w:val="auto"/>
        </w:rPr>
      </w:pPr>
    </w:p>
    <w:p>
      <w:pPr>
        <w:ind w:right="8420" w:firstLine="8"/>
        <w:spacing w:after="0" w:line="378" w:lineRule="auto"/>
        <w:tabs>
          <w:tab w:leader="none" w:pos="44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Defined Contribution Plan</w:t>
      </w:r>
    </w:p>
    <w:p>
      <w:pPr>
        <w:ind w:right="100"/>
        <w:spacing w:after="0" w:line="286"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Stock Purchase Plan</w:t>
      </w:r>
    </w:p>
    <w:p>
      <w:pPr>
        <w:spacing w:after="0" w:line="12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December 31, 2019, the Company had not yet approved any offering under the plan and 0.4 million shares were reserved for issuance.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4" w:name="page105"/>
    <w:bookmarkEnd w:id="104"/>
    <w:p>
      <w:pPr>
        <w:jc w:val="center"/>
        <w:ind w:right="-1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loss before income taxes was $29.0 million, $24.1 million, and $16.1 million for the years ended December 31, 2019, 2018, 2017, respectively, and was generated entirely in the United States. The Company did not record current or deferred income tax expense or benefit during the years ended December 31, 2019, 2018,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United States federal income tax rate to the Company’s effective tax rate is as follows:</w:t>
      </w:r>
    </w:p>
    <w:p>
      <w:pPr>
        <w:spacing w:after="0" w:line="284"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Tax 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federal statutory income tax rate</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21.0%</w:t>
            </w:r>
          </w:p>
        </w:tc>
        <w:tc>
          <w:tcPr>
            <w:tcW w:w="6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34.0%</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State and local taxes, net of federal benefit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3.8%</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19"/>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Nondeductible expenses</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6.4%</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Research and development credits</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0.6%</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19"/>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rate change and true-up</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0.6%</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-138.0%</w:t>
            </w:r>
          </w:p>
        </w:tc>
      </w:tr>
      <w:tr>
        <w:trPr>
          <w:trHeight w:val="213"/>
        </w:trPr>
        <w:tc>
          <w:tcPr>
            <w:tcW w:w="5940" w:type="dxa"/>
            <w:vAlign w:val="bottom"/>
            <w:gridSpan w:val="3"/>
          </w:tcPr>
          <w:p>
            <w:pPr>
              <w:spacing w:after="0"/>
              <w:rPr>
                <w:sz w:val="20"/>
                <w:szCs w:val="20"/>
                <w:color w:val="auto"/>
              </w:rPr>
            </w:pPr>
            <w:r>
              <w:rPr>
                <w:rFonts w:ascii="Arial" w:cs="Arial" w:eastAsia="Arial" w:hAnsi="Arial"/>
                <w:sz w:val="16"/>
                <w:szCs w:val="16"/>
                <w:color w:val="auto"/>
              </w:rPr>
              <w:t>Change in valuation allowance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-31.1%</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-26.7%</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100.3%</w:t>
            </w: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Effective income tax rate</w:t>
            </w:r>
          </w:p>
        </w:tc>
        <w:tc>
          <w:tcPr>
            <w:tcW w:w="6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6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Net operating loss carryforwards</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56,157</w:t>
            </w:r>
          </w:p>
        </w:tc>
        <w:tc>
          <w:tcPr>
            <w:tcW w:w="2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 credits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Accruals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Interest expense - 163(j)</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Capitalized start-up costs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temporary differences</w:t>
            </w:r>
          </w:p>
        </w:tc>
        <w:tc>
          <w:tcPr>
            <w:tcW w:w="15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deferred tax assets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Less: Valuation allowance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(62,805)</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(53,774)</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Total deferred tax assets</w:t>
            </w:r>
          </w:p>
        </w:tc>
        <w:tc>
          <w:tcPr>
            <w:tcW w:w="1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Capitalized software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(283)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commission</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(1,094)</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500"/>
              <w:spacing w:after="0"/>
              <w:rPr>
                <w:sz w:val="20"/>
                <w:szCs w:val="20"/>
                <w:color w:val="auto"/>
              </w:rPr>
            </w:pPr>
            <w:r>
              <w:rPr>
                <w:rFonts w:ascii="Arial" w:cs="Arial" w:eastAsia="Arial" w:hAnsi="Arial"/>
                <w:sz w:val="16"/>
                <w:szCs w:val="16"/>
                <w:color w:val="auto"/>
              </w:rPr>
              <w:t>Gross deferred tax liabilities</w:t>
            </w: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(1,377)</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deferred taxes</w:t>
            </w:r>
          </w:p>
        </w:tc>
        <w:tc>
          <w:tcPr>
            <w:tcW w:w="1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 associated with its net operating losses will not be realized in the immediate future. As such, there is a full valuation allowance against the net deferred tax assets as of December 31, 2019 and 2018. The valuation allowance increased by $9.0 million and $6.4 million during the years ended December 31, 2019 and 2018, respectively, due primarily to the generation of net operating losses and the federal tax rate reduction during the periods.</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9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Balance at the beginning of the year</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53,774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47,341</w:t>
            </w:r>
          </w:p>
        </w:tc>
        <w:tc>
          <w:tcPr>
            <w:tcW w:w="60" w:type="dxa"/>
            <w:vAlign w:val="bottom"/>
            <w:shd w:val="clear" w:color="auto" w:fill="CFF0FC"/>
          </w:tcPr>
          <w:p>
            <w:pPr>
              <w:spacing w:after="0"/>
              <w:rPr>
                <w:sz w:val="18"/>
                <w:szCs w:val="18"/>
                <w:color w:val="auto"/>
              </w:rPr>
            </w:pPr>
          </w:p>
        </w:tc>
      </w:tr>
      <w:tr>
        <w:trPr>
          <w:trHeight w:val="213"/>
        </w:trPr>
        <w:tc>
          <w:tcPr>
            <w:tcW w:w="3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Amounts charges to expense</w:t>
            </w:r>
          </w:p>
        </w:tc>
        <w:tc>
          <w:tcPr>
            <w:tcW w:w="15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6,433</w:t>
            </w:r>
          </w:p>
        </w:tc>
        <w:tc>
          <w:tcPr>
            <w:tcW w:w="6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Balance at the end of the year</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53,774</w:t>
            </w:r>
          </w:p>
        </w:tc>
        <w:tc>
          <w:tcPr>
            <w:tcW w:w="6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carryforwards of federal net operating losses and tax credits as of December 31, 2019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Beginning in</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Federal net operating losses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State net operating losses</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credits</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Tax Reform Act of 1986 (the Act),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done an analysis to determine whether or not ownership changes, as defined by the Act, have occurred since inception.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2019, the Company had no accrued interest or penalties related to uncertain tax positions and no amounts have been recognized in the Company’s statements of operations. Due to net operating loss and tax credit carry forwards that remain unutilized, income tax returns for tax years from inception through 2018 remain subject to examination by the taxing jurisdictions.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2017, the Tax Cuts and Jobs Act (the “2017 Tax Act”) was enacted. The 2017 Tax Act includes a number of changes to existing U.S. tax laws that impact the company, most notably a reduction of the U.S. corporate income tax rate from 35 percent to 21 percent for tax years beginning after December 31, 2017. The 2017 Tax Act also provides for a one-time transition tax on certain foreign earnings and the acceleration of depreciation for certain assets placed into service after September 27, 2017 as well as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which provided guidance on accounting for the federal tax rate change and other tax effects of the Tax Act. SAB 118 provided a measurement period that should not extend beyond one year from the Tax Act enactment date for companies to complete the accounting under ASC 740, Income Taxes. In connection with our adoption of the Tax Act and in consideration of SAB 118, there were no changes made to the provisional amounts recognized in 2017 in connection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with the enactment of the Tax Reform Act. The accounting for the income tax effects of the Tax Reform Act was complete as of December 31, 2018.</w:t>
      </w:r>
    </w:p>
    <w:p>
      <w:pPr>
        <w:spacing w:after="0" w:line="341" w:lineRule="exact"/>
        <w:rPr>
          <w:sz w:val="20"/>
          <w:szCs w:val="20"/>
          <w:color w:val="auto"/>
        </w:rPr>
      </w:pPr>
    </w:p>
    <w:p>
      <w:pPr>
        <w:ind w:right="7520" w:firstLine="8"/>
        <w:spacing w:after="0" w:line="378" w:lineRule="auto"/>
        <w:tabs>
          <w:tab w:leader="none" w:pos="44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ind w:right="180"/>
        <w:spacing w:after="0" w:line="277"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b w:val="1"/>
          <w:bCs w:val="1"/>
          <w:color w:val="50748A"/>
        </w:rPr>
        <w:t>.</w:t>
      </w:r>
      <w:r>
        <w:rPr>
          <w:rFonts w:ascii="Arial" w:cs="Arial" w:eastAsia="Arial" w:hAnsi="Arial"/>
          <w:sz w:val="18"/>
          <w:szCs w:val="18"/>
          <w:b w:val="1"/>
          <w:bCs w:val="1"/>
          <w:color w:val="auto"/>
        </w:rPr>
        <w:tab/>
        <w:t>DISTRIBUTION AGREEMENT WITH TEIJIN PHARMA LIMITED</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 Teijin is required to purchase minimum dollar values of NeuroStar Advanced Therapy Systems and treatment sessions from the Company.</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2017, under the distribution agreement with Teijin, the Company received an upfront payment of $0.75 million and a milestone payment of $2.0 million following the Japanese Ministry of Health, Labour and Welfare’s, or JMHLW, approval of marketing the NeuroStar Advanced Therapy System for the treatment of MDD in Japan. In the second quarter of 2019, under the distribution agreement with Teijin, the Company earned a second milestone payment of $0.7 million, following Japan’s Central Social Insurance Medical Council (Chuikyo) approval of the recommendation by JMHLW’s expert review panel to provide reimbursement for NeuroStar Advanced Therapy for the treatment of MDD in adults. The reimbursement went into effect on June 1, 2019 and covers patients who are treated in the largest inpatient and outpatient psychiatric facilities in Japan at the rate of JPY12,000 per treatment session. These upfront and subsequent milestone payments have been deferred and are being recognized as revenue over the seven- and one-half year term of the agreement.</w:t>
      </w:r>
    </w:p>
    <w:p>
      <w:pPr>
        <w:spacing w:after="0" w:line="1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May 2019, the Company and Teijin entered into an amendment to the distribution agreement, which among other things finalized transfer prices, forecasting and minimum purchases, and made certain clarifications to the agreement.</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distribution agreement is scheduled to expire on March 31, 2025, subject to earlier termination if the Company or Teijin breach the agreement, Teijin fails to maintain distributor-level permits and approvals, Teijin fails to purchase from the Company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60,760</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vMerge w:val="continue"/>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62,656</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5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18,007</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Treatment sessions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41,120</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60,760</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9"/>
          </w:tcPr>
          <w:p>
            <w:pPr>
              <w:jc w:val="center"/>
              <w:ind w:left="657"/>
              <w:spacing w:after="0"/>
              <w:rPr>
                <w:sz w:val="20"/>
                <w:szCs w:val="20"/>
                <w:color w:val="auto"/>
              </w:rPr>
            </w:pPr>
            <w:r>
              <w:rPr>
                <w:rFonts w:ascii="Arial" w:cs="Arial" w:eastAsia="Arial" w:hAnsi="Arial"/>
                <w:sz w:val="14"/>
                <w:szCs w:val="14"/>
                <w:b w:val="1"/>
                <w:bCs w:val="1"/>
                <w:color w:val="auto"/>
                <w:w w:val="93"/>
              </w:rPr>
              <w:t>International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5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Treatment sessions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51,477</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vMerge w:val="continue"/>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52,776</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40" w:type="dxa"/>
            <w:vAlign w:val="bottom"/>
            <w:gridSpan w:val="2"/>
          </w:tcPr>
          <w:p>
            <w:pPr>
              <w:jc w:val="right"/>
              <w:ind w:right="25"/>
              <w:spacing w:after="0"/>
              <w:rPr>
                <w:sz w:val="20"/>
                <w:szCs w:val="20"/>
                <w:color w:val="auto"/>
              </w:rPr>
            </w:pPr>
            <w:r>
              <w:rPr>
                <w:rFonts w:ascii="Arial" w:cs="Arial" w:eastAsia="Arial" w:hAnsi="Arial"/>
                <w:sz w:val="18"/>
                <w:szCs w:val="18"/>
                <w:color w:val="auto"/>
              </w:rPr>
              <w:t>F-32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34"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U.S. Revenues by Product Category</w:t>
      </w:r>
    </w:p>
    <w:p>
      <w:pPr>
        <w:jc w:val="center"/>
        <w:ind w:left="504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35,287</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51,477</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9"/>
          </w:tcPr>
          <w:p>
            <w:pPr>
              <w:jc w:val="center"/>
              <w:ind w:left="657"/>
              <w:spacing w:after="0"/>
              <w:rPr>
                <w:sz w:val="20"/>
                <w:szCs w:val="20"/>
                <w:color w:val="auto"/>
              </w:rPr>
            </w:pPr>
            <w:r>
              <w:rPr>
                <w:rFonts w:ascii="Arial" w:cs="Arial" w:eastAsia="Arial" w:hAnsi="Arial"/>
                <w:sz w:val="14"/>
                <w:szCs w:val="14"/>
                <w:b w:val="1"/>
                <w:bCs w:val="1"/>
                <w:color w:val="auto"/>
                <w:w w:val="93"/>
              </w:rPr>
              <w:t>International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Borders>
              <w:right w:val="single" w:sz="8" w:color="CFF0FC"/>
            </w:tcBorders>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1,299</w:t>
            </w: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5980" w:firstLine="8"/>
        <w:spacing w:after="0" w:line="488" w:lineRule="auto"/>
        <w:tabs>
          <w:tab w:leader="none" w:pos="43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SUPPLEMENTARY FINANCIAL INFORMATION (Unaudited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financial information for the quarterly periods noted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3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080" w:type="dxa"/>
            <w:vAlign w:val="bottom"/>
          </w:tcPr>
          <w:p>
            <w:pPr>
              <w:jc w:val="right"/>
              <w:ind w:right="1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0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17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12,401</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11,808</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13,137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20"/>
                <w:szCs w:val="20"/>
                <w:color w:val="auto"/>
              </w:rPr>
            </w:pPr>
            <w:r>
              <w:rPr>
                <w:rFonts w:ascii="Arial" w:cs="Arial" w:eastAsia="Arial" w:hAnsi="Arial"/>
                <w:sz w:val="16"/>
                <w:szCs w:val="16"/>
                <w:color w:val="auto"/>
              </w:rPr>
              <w:t>Operating expenses:</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7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16,977</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19,008</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18,136</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20,076</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(6,607)</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(6,328)</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20"/>
                <w:szCs w:val="20"/>
                <w:color w:val="auto"/>
              </w:rPr>
            </w:pPr>
            <w:r>
              <w:rPr>
                <w:rFonts w:ascii="Arial" w:cs="Arial" w:eastAsia="Arial" w:hAnsi="Arial"/>
                <w:sz w:val="16"/>
                <w:szCs w:val="16"/>
                <w:color w:val="auto"/>
              </w:rPr>
              <w:t>Other (income) expense:</w:t>
            </w:r>
          </w:p>
        </w:tc>
        <w:tc>
          <w:tcPr>
            <w:tcW w:w="1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(391)</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(7,529)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(7,094)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(6,867)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w:t>
            </w: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Pr>
          <w:p>
            <w:pPr>
              <w:ind w:left="120"/>
              <w:spacing w:after="0"/>
              <w:rPr>
                <w:sz w:val="20"/>
                <w:szCs w:val="20"/>
                <w:color w:val="auto"/>
              </w:rPr>
            </w:pPr>
            <w:r>
              <w:rPr>
                <w:rFonts w:ascii="Arial" w:cs="Arial" w:eastAsia="Arial" w:hAnsi="Arial"/>
                <w:sz w:val="16"/>
                <w:szCs w:val="16"/>
                <w:color w:val="auto"/>
              </w:rPr>
              <w:t>outstanding, basic and diluted</w:t>
            </w:r>
          </w:p>
        </w:tc>
        <w:tc>
          <w:tcPr>
            <w:tcW w:w="20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(0.42)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(0.37)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w:t>
            </w:r>
          </w:p>
        </w:tc>
        <w:tc>
          <w:tcPr>
            <w:tcW w:w="17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outstanding, basic and diluted</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18,351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18,627</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F-33</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3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1"/>
                <w:szCs w:val="11"/>
                <w:color w:val="auto"/>
              </w:rPr>
            </w:pPr>
          </w:p>
        </w:tc>
        <w:tc>
          <w:tcPr>
            <w:tcW w:w="1080" w:type="dxa"/>
            <w:vAlign w:val="bottom"/>
          </w:tcPr>
          <w:p>
            <w:pPr>
              <w:jc w:val="right"/>
              <w:ind w:right="1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8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6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1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10,703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Operating expenses: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6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15,243</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15,035</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(5,236)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(4,332)</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Other (income) expense:</w:t>
            </w:r>
          </w:p>
        </w:tc>
        <w:tc>
          <w:tcPr>
            <w:tcW w:w="1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(5,497)</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(7,496)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(6,143)</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w:t>
            </w:r>
          </w:p>
        </w:tc>
        <w:tc>
          <w:tcPr>
            <w:tcW w:w="1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20" w:type="dxa"/>
            <w:vAlign w:val="bottom"/>
          </w:tcPr>
          <w:p>
            <w:pPr>
              <w:ind w:left="120"/>
              <w:spacing w:after="0"/>
              <w:rPr>
                <w:sz w:val="20"/>
                <w:szCs w:val="20"/>
                <w:color w:val="auto"/>
              </w:rPr>
            </w:pPr>
            <w:r>
              <w:rPr>
                <w:rFonts w:ascii="Arial" w:cs="Arial" w:eastAsia="Arial" w:hAnsi="Arial"/>
                <w:sz w:val="16"/>
                <w:szCs w:val="16"/>
                <w:color w:val="auto"/>
              </w:rPr>
              <w:t>outstanding, basic and diluted</w:t>
            </w:r>
          </w:p>
        </w:tc>
        <w:tc>
          <w:tcPr>
            <w:tcW w:w="18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(24.43)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(30.60)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19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w:t>
            </w:r>
          </w:p>
        </w:tc>
        <w:tc>
          <w:tcPr>
            <w:tcW w:w="16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outstanding, basic and diluted</w:t>
            </w: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17,382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Quarterly computations of net loss per share amounts are made independently for each quarterly reporting period, and the sum of the per share amounts for the quarterly reporting periods may not equal the per share amounts for the year-to-date reporting period. Net loss per share for the three months ended September 30, 2018 and December 31, 2018 include, on a weighted-average basis, the 11.0 million shares of common stock issued upon the conversion of all outstanding shares of convertible preferred stock immediately prior to the closing of the IPO and 6.325 million shares of common stock issued upon the closing of the IPO on July 2, 2018.</w:t>
      </w:r>
    </w:p>
    <w:p>
      <w:pPr>
        <w:spacing w:after="0" w:line="373"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 2020, the Company entered into a loan and security agreement with Solar Capital Ltd. (“Solar”), as collateral agent, and the lenders identified therein, for a credit facility (the “Solar Facility”) that replaced the Company’s previous $35.0 million credit facility with Oxford Finance, LLC (the “Oxford Facility”). The Solar Facility permits the Company to borrow up to an aggregate amount of $50.0 million in two tranches of term loans, a “Term A Loan” and “Term B Loan.”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 2020, the Company borrowed an aggregate amount of $35.0 million under the Solar Facility, which was the aggregate amount available under the Term A Loan portion of the Solar Facility. Subject to certain conditions, under the Term B Loan portion of the Solar Facility, the Company is permitted to borrow, at its election, up to an aggregate amount of $15.0 million, (i) upon the Company’s achieving a trailing twelve month net product revenue milestone, and (ii) assuming no event of default shall have occurred prior to such election.</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the greater of (a) 1.66% or (b) the rate per annum rate published by the Intercontinental Exchange Benchmark Administration Ltd. for a term of one month plus 7.65%.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2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Simultaneously with the Company’s entry into the Solar Facility, the Company prepaid in full all outstanding obligations under, and terminated, the Oxford Facility.</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40" w:type="dxa"/>
            <w:vAlign w:val="bottom"/>
            <w:gridSpan w:val="27"/>
          </w:tcPr>
          <w:p>
            <w:pPr>
              <w:ind w:left="220"/>
              <w:spacing w:after="0"/>
              <w:rPr>
                <w:sz w:val="20"/>
                <w:szCs w:val="20"/>
                <w:color w:val="auto"/>
              </w:rPr>
            </w:pPr>
            <w:r>
              <w:rPr>
                <w:rFonts w:ascii="Arial" w:cs="Arial" w:eastAsia="Arial" w:hAnsi="Arial"/>
                <w:sz w:val="18"/>
                <w:szCs w:val="18"/>
                <w:b w:val="1"/>
                <w:bCs w:val="1"/>
                <w:color w:val="auto"/>
              </w:rPr>
              <w:t>EXHIBIT INDEX</w:t>
            </w:r>
          </w:p>
        </w:tc>
      </w:tr>
      <w:tr>
        <w:trPr>
          <w:trHeight w:val="319"/>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40" w:type="dxa"/>
            <w:vAlign w:val="bottom"/>
            <w:gridSpan w:val="27"/>
          </w:tcPr>
          <w:p>
            <w:pPr>
              <w:ind w:left="600"/>
              <w:spacing w:after="0"/>
              <w:rPr>
                <w:sz w:val="20"/>
                <w:szCs w:val="20"/>
                <w:color w:val="auto"/>
              </w:rPr>
            </w:pPr>
            <w:r>
              <w:rPr>
                <w:rFonts w:ascii="Arial" w:cs="Arial" w:eastAsia="Arial" w:hAnsi="Arial"/>
                <w:sz w:val="18"/>
                <w:szCs w:val="18"/>
                <w:b w:val="1"/>
                <w:bCs w:val="1"/>
                <w:color w:val="auto"/>
              </w:rPr>
              <w:t>Description of Exhibit</w:t>
            </w:r>
          </w:p>
        </w:tc>
      </w:tr>
      <w:tr>
        <w:trPr>
          <w:trHeight w:val="297"/>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3.1</w:t>
            </w:r>
          </w:p>
        </w:tc>
        <w:tc>
          <w:tcPr>
            <w:tcW w:w="10360" w:type="dxa"/>
            <w:vAlign w:val="bottom"/>
            <w:gridSpan w:val="31"/>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Ninth Amended and Restated Certificate of Incorporation of the Registrant (incorporated by reference to Exhibit 3.1 to the Form 8-K filed July</w:t>
              </w:r>
            </w:hyperlink>
          </w:p>
        </w:tc>
      </w:tr>
      <w:tr>
        <w:trPr>
          <w:trHeight w:val="196"/>
        </w:trPr>
        <w:tc>
          <w:tcPr>
            <w:tcW w:w="1080" w:type="dxa"/>
            <w:vAlign w:val="bottom"/>
          </w:tcPr>
          <w:p>
            <w:pPr>
              <w:spacing w:after="0"/>
              <w:rPr>
                <w:sz w:val="17"/>
                <w:szCs w:val="17"/>
                <w:color w:val="auto"/>
              </w:rPr>
            </w:pPr>
          </w:p>
        </w:tc>
        <w:tc>
          <w:tcPr>
            <w:tcW w:w="10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6, 2018)</w:t>
              </w:r>
            </w:hyperlink>
          </w:p>
        </w:tc>
        <w:tc>
          <w:tcPr>
            <w:tcW w:w="18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3.2</w:t>
            </w:r>
          </w:p>
        </w:tc>
        <w:tc>
          <w:tcPr>
            <w:tcW w:w="10360" w:type="dxa"/>
            <w:vAlign w:val="bottom"/>
            <w:gridSpan w:val="31"/>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Certificate of Amendment to the Registrant’s Ninth Amended and Restated Certificate of Incorporation (incorporated by reference to Exhibit</w:t>
              </w:r>
            </w:hyperlink>
          </w:p>
        </w:tc>
      </w:tr>
      <w:tr>
        <w:trPr>
          <w:trHeight w:val="196"/>
        </w:trPr>
        <w:tc>
          <w:tcPr>
            <w:tcW w:w="10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3.</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the Form 8-K filed May 30, 2019)</w:t>
              </w:r>
            </w:hyperlink>
          </w:p>
        </w:tc>
        <w:tc>
          <w:tcPr>
            <w:tcW w:w="7220" w:type="dxa"/>
            <w:vAlign w:val="bottom"/>
            <w:tcBorders>
              <w:top w:val="single" w:sz="8" w:color="0000EE"/>
            </w:tcBorders>
            <w:gridSpan w:val="22"/>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3.3</w:t>
            </w:r>
          </w:p>
        </w:tc>
        <w:tc>
          <w:tcPr>
            <w:tcW w:w="9640" w:type="dxa"/>
            <w:vAlign w:val="bottom"/>
            <w:tcBorders>
              <w:bottom w:val="single" w:sz="8" w:color="0000EE"/>
            </w:tcBorders>
            <w:gridSpan w:val="17"/>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Second Amended and Restated Bylaws of the Registrant (incorporated by reference to Exhibit 3.2 to the Form 8-K filed July 6, 2018)</w:t>
              </w:r>
            </w:hyperlink>
          </w:p>
        </w:tc>
        <w:tc>
          <w:tcPr>
            <w:tcW w:w="720" w:type="dxa"/>
            <w:vAlign w:val="bottom"/>
            <w:gridSpan w:val="14"/>
          </w:tcPr>
          <w:p>
            <w:pPr>
              <w:spacing w:after="0"/>
              <w:rPr>
                <w:sz w:val="24"/>
                <w:szCs w:val="24"/>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3.4</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First Amendment to the Registrant’s Second Amended and Restated Bylaws (incorporated by reference to Exhibit 3.4 to the Form 8-K filed</w:t>
              </w:r>
            </w:hyperlink>
          </w:p>
        </w:tc>
        <w:tc>
          <w:tcPr>
            <w:tcW w:w="30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May 30, 2019)</w:t>
              </w:r>
            </w:hyperlink>
          </w:p>
        </w:tc>
        <w:tc>
          <w:tcPr>
            <w:tcW w:w="9300" w:type="dxa"/>
            <w:vAlign w:val="bottom"/>
            <w:gridSpan w:val="29"/>
          </w:tcPr>
          <w:p>
            <w:pPr>
              <w:spacing w:after="0"/>
              <w:rPr>
                <w:sz w:val="17"/>
                <w:szCs w:val="17"/>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EE"/>
            </w:tcBorders>
            <w:gridSpan w:val="26"/>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Specimen Stock Certificate evidencing shares of common stock of the Registrant (incorporated by reference to Exhibit 4.1 to the Registrant’s</w:t>
              </w:r>
            </w:hyperlink>
          </w:p>
        </w:tc>
        <w:tc>
          <w:tcPr>
            <w:tcW w:w="1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1"/>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4.2</w:t>
            </w:r>
          </w:p>
        </w:tc>
        <w:tc>
          <w:tcPr>
            <w:tcW w:w="10360" w:type="dxa"/>
            <w:vAlign w:val="bottom"/>
            <w:gridSpan w:val="31"/>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Form of Warrant to Purchase Stock, by and between the Registrant and Oxford Finance LLC (incorporated by reference to Exhibit 4.2 to the</w:t>
              </w:r>
            </w:hyperlink>
          </w:p>
        </w:tc>
      </w:tr>
      <w:tr>
        <w:trPr>
          <w:trHeight w:val="196"/>
        </w:trPr>
        <w:tc>
          <w:tcPr>
            <w:tcW w:w="10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Registration Statement on Form S-1 (File No. 333- 225307))</w:t>
              </w:r>
            </w:hyperlink>
          </w:p>
        </w:tc>
        <w:tc>
          <w:tcPr>
            <w:tcW w:w="5720" w:type="dxa"/>
            <w:vAlign w:val="bottom"/>
            <w:tcBorders>
              <w:top w:val="single" w:sz="8" w:color="0000EE"/>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rPr>
              <w:t>4.3</w:t>
            </w:r>
          </w:p>
        </w:tc>
        <w:tc>
          <w:tcPr>
            <w:tcW w:w="10360" w:type="dxa"/>
            <w:vAlign w:val="bottom"/>
            <w:gridSpan w:val="31"/>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Warrant to Purchase Stock, by and between the Registrant and Comerica Bank, dated December 20, 2012 (incorporated by reference to Exhibit</w:t>
              </w:r>
            </w:hyperlink>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4.</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to the Registration Statement on Form S-1 (File No. 333-225307))</w:t>
              </w:r>
            </w:hyperlink>
          </w:p>
        </w:tc>
        <w:tc>
          <w:tcPr>
            <w:tcW w:w="5240" w:type="dxa"/>
            <w:vAlign w:val="bottom"/>
            <w:tcBorders>
              <w:top w:val="single" w:sz="8" w:color="0000EE"/>
            </w:tcBorders>
            <w:gridSpan w:val="21"/>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4.4*</w:t>
            </w:r>
          </w:p>
        </w:tc>
        <w:tc>
          <w:tcPr>
            <w:tcW w:w="8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Description of the Registrant’s Securities Registered Pursuant to Section 12 of the Securities Exchange Act of 1934</w:t>
              </w:r>
            </w:hyperlink>
          </w:p>
        </w:tc>
        <w:tc>
          <w:tcPr>
            <w:tcW w:w="2040" w:type="dxa"/>
            <w:vAlign w:val="bottom"/>
            <w:gridSpan w:val="18"/>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gridSpan w:val="31"/>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Distribution Agreement, by and between the Registrant and Teijin Pharma Limited, dated October 12, 2017 (incorporated by reference to</w:t>
              </w:r>
            </w:hyperlink>
          </w:p>
        </w:tc>
      </w:tr>
      <w:tr>
        <w:trPr>
          <w:trHeight w:val="196"/>
        </w:trPr>
        <w:tc>
          <w:tcPr>
            <w:tcW w:w="108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Exhibit 10.1 to the Registrant’s Registration Statement on Form S-1 (File No. 333-225307))</w:t>
              </w:r>
            </w:hyperlink>
          </w:p>
        </w:tc>
        <w:tc>
          <w:tcPr>
            <w:tcW w:w="3260" w:type="dxa"/>
            <w:vAlign w:val="bottom"/>
            <w:tcBorders>
              <w:top w:val="single" w:sz="8" w:color="0000EE"/>
            </w:tcBorders>
            <w:gridSpan w:val="10"/>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10.2</w:t>
            </w:r>
          </w:p>
        </w:tc>
        <w:tc>
          <w:tcPr>
            <w:tcW w:w="9980" w:type="dxa"/>
            <w:vAlign w:val="bottom"/>
            <w:tcBorders>
              <w:bottom w:val="single" w:sz="8" w:color="0000EE"/>
            </w:tcBorders>
            <w:gridSpan w:val="22"/>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Sixth Amended and Restated Investors’ Rights Agreement by and among the Registrant and certain of its stockholders, dated June 1, 2017</w:t>
              </w:r>
            </w:hyperlink>
          </w:p>
        </w:tc>
        <w:tc>
          <w:tcPr>
            <w:tcW w:w="380" w:type="dxa"/>
            <w:vAlign w:val="bottom"/>
            <w:gridSpan w:val="9"/>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(incorporated by reference to Exhibit 10.2 to the Registrant’s 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10.3</w:t>
            </w:r>
          </w:p>
        </w:tc>
        <w:tc>
          <w:tcPr>
            <w:tcW w:w="9740" w:type="dxa"/>
            <w:vAlign w:val="bottom"/>
            <w:tcBorders>
              <w:bottom w:val="single" w:sz="8" w:color="0000EE"/>
            </w:tcBorders>
            <w:gridSpan w:val="18"/>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Sixth Amended and Restated Stockholders’ Agreement by and among the Registrant and certain of its stockholders, dated June 1, 2017</w:t>
              </w:r>
            </w:hyperlink>
          </w:p>
        </w:tc>
        <w:tc>
          <w:tcPr>
            <w:tcW w:w="620" w:type="dxa"/>
            <w:vAlign w:val="bottom"/>
            <w:gridSpan w:val="1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(incorporated by reference to Exhibit 10.3 to the Registrant’s 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30"/>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Employment Agreement by and between the Registrant and Christopher Thatcher, dated as of November 1, 2014, as amended on May 25, 2018</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(incorporated by reference to Exhibit 10.4 to the Registrant’s Registration Statement on Form S-1 (File No. 333-225307))</w:t>
              </w:r>
            </w:hyperlink>
          </w:p>
        </w:tc>
        <w:tc>
          <w:tcPr>
            <w:tcW w:w="1580" w:type="dxa"/>
            <w:vAlign w:val="bottom"/>
            <w:gridSpan w:val="16"/>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0360" w:type="dxa"/>
            <w:vAlign w:val="bottom"/>
            <w:gridSpan w:val="31"/>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Offer Letter, dated August 11, 2016, by and between the Registrant and Greg Harper (incorporated by reference to Exhibit 10.5 to the</w:t>
              </w:r>
            </w:hyperlink>
          </w:p>
        </w:tc>
      </w:tr>
      <w:tr>
        <w:trPr>
          <w:trHeight w:val="196"/>
        </w:trPr>
        <w:tc>
          <w:tcPr>
            <w:tcW w:w="1080" w:type="dxa"/>
            <w:vAlign w:val="bottom"/>
          </w:tcPr>
          <w:p>
            <w:pPr>
              <w:spacing w:after="0"/>
              <w:rPr>
                <w:sz w:val="17"/>
                <w:szCs w:val="17"/>
                <w:color w:val="auto"/>
              </w:rPr>
            </w:pPr>
          </w:p>
        </w:tc>
        <w:tc>
          <w:tcPr>
            <w:tcW w:w="9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Registrant’s Registration Statement on Form S-1 (File No. 333-225307))</w:t>
              </w:r>
            </w:hyperlink>
          </w:p>
        </w:tc>
        <w:tc>
          <w:tcPr>
            <w:tcW w:w="760" w:type="dxa"/>
            <w:vAlign w:val="bottom"/>
            <w:gridSpan w:val="1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gridSpan w:val="31"/>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Offer Letter, dated February 27, 2017, by and between the Registrant and Peter Donato (incorporated by reference to Exhibit 10.6 to the</w:t>
              </w:r>
            </w:hyperlink>
          </w:p>
        </w:tc>
      </w:tr>
      <w:tr>
        <w:trPr>
          <w:trHeight w:val="196"/>
        </w:trPr>
        <w:tc>
          <w:tcPr>
            <w:tcW w:w="1080" w:type="dxa"/>
            <w:vAlign w:val="bottom"/>
          </w:tcPr>
          <w:p>
            <w:pPr>
              <w:spacing w:after="0"/>
              <w:rPr>
                <w:sz w:val="17"/>
                <w:szCs w:val="17"/>
                <w:color w:val="auto"/>
              </w:rPr>
            </w:pPr>
          </w:p>
        </w:tc>
        <w:tc>
          <w:tcPr>
            <w:tcW w:w="9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Registrant’s Registration Statement on Form S-1 (File No. 333-225307))</w:t>
              </w:r>
            </w:hyperlink>
          </w:p>
        </w:tc>
        <w:tc>
          <w:tcPr>
            <w:tcW w:w="580" w:type="dxa"/>
            <w:vAlign w:val="bottom"/>
            <w:gridSpan w:val="11"/>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10.7</w:t>
            </w:r>
          </w:p>
        </w:tc>
        <w:tc>
          <w:tcPr>
            <w:tcW w:w="10200" w:type="dxa"/>
            <w:vAlign w:val="bottom"/>
            <w:tcBorders>
              <w:bottom w:val="single" w:sz="8" w:color="0000EE"/>
            </w:tcBorders>
            <w:gridSpan w:val="27"/>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Form of Indemnification Agreement between the Registrant and its non-employee directors and officers (incorporated by reference to Exhibit</w:t>
              </w:r>
            </w:hyperlink>
          </w:p>
        </w:tc>
        <w:tc>
          <w:tcPr>
            <w:tcW w:w="16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7</w:t>
              </w:r>
              <w:r>
                <w:rPr>
                  <w:rFonts w:ascii="Arial" w:cs="Arial" w:eastAsia="Arial" w:hAnsi="Arial"/>
                  <w:sz w:val="18"/>
                  <w:szCs w:val="18"/>
                  <w:color w:val="0000EE"/>
                  <w:w w:val="90"/>
                </w:rPr>
                <w:t xml:space="preserve"> to the Registrant’s Registration Statement on Form S-1 (File No. 333-225307))</w:t>
              </w:r>
            </w:hyperlink>
          </w:p>
        </w:tc>
        <w:tc>
          <w:tcPr>
            <w:tcW w:w="4300" w:type="dxa"/>
            <w:vAlign w:val="bottom"/>
            <w:gridSpan w:val="21"/>
          </w:tcPr>
          <w:p>
            <w:pPr>
              <w:spacing w:after="0"/>
              <w:rPr>
                <w:sz w:val="17"/>
                <w:szCs w:val="17"/>
                <w:color w:val="auto"/>
              </w:rPr>
            </w:pPr>
          </w:p>
        </w:tc>
      </w:tr>
      <w:tr>
        <w:trPr>
          <w:trHeight w:val="318"/>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10.8</w:t>
            </w:r>
          </w:p>
        </w:tc>
        <w:tc>
          <w:tcPr>
            <w:tcW w:w="9760" w:type="dxa"/>
            <w:vAlign w:val="bottom"/>
            <w:tcBorders>
              <w:bottom w:val="single" w:sz="8" w:color="0000EE"/>
            </w:tcBorders>
            <w:gridSpan w:val="19"/>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Loan and Security Agreement by and between Solar Capital Ltd., the lenders identified therein and the Registrant, dated March 2, 2020</w:t>
              </w:r>
            </w:hyperlink>
          </w:p>
        </w:tc>
        <w:tc>
          <w:tcPr>
            <w:tcW w:w="600" w:type="dxa"/>
            <w:vAlign w:val="bottom"/>
            <w:gridSpan w:val="1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(incorporated by reference to Exhibit 10.1 to the Registrant’s Current Report on Form 8-K filed on March 3, 2020)</w:t>
              </w:r>
            </w:hyperlink>
          </w:p>
        </w:tc>
        <w:tc>
          <w:tcPr>
            <w:tcW w:w="2100" w:type="dxa"/>
            <w:vAlign w:val="bottom"/>
            <w:gridSpan w:val="19"/>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tcBorders>
              <w:bottom w:val="single" w:sz="8" w:color="0000EE"/>
            </w:tcBorders>
            <w:gridSpan w:val="28"/>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Amended and Restated 2003 Stock Incentive Plan of the Registrant, as amended (incorporated by reference to Exhibit 10.9 to the Registrant’s</w:t>
              </w:r>
            </w:hyperlink>
          </w:p>
        </w:tc>
        <w:tc>
          <w:tcPr>
            <w:tcW w:w="1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Registration Statement on Form S-1 (File No. 333-225307))</w:t>
              </w:r>
            </w:hyperlink>
          </w:p>
        </w:tc>
      </w:tr>
      <w:tr>
        <w:trPr>
          <w:trHeight w:val="689"/>
        </w:trPr>
        <w:tc>
          <w:tcPr>
            <w:tcW w:w="108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86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32"/>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2018 Equity Incentive Plan (incorporated by reference to Exhibit 10.10 to the Registrant’s Quarterly Report on Form 10-Q (File No. 001-</w:t>
              </w:r>
            </w:hyperlink>
          </w:p>
        </w:tc>
      </w:tr>
      <w:tr>
        <w:trPr>
          <w:trHeight w:val="196"/>
        </w:trPr>
        <w:tc>
          <w:tcPr>
            <w:tcW w:w="108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38546)</w:t>
              </w:r>
              <w:r>
                <w:rPr>
                  <w:rFonts w:ascii="Arial" w:cs="Arial" w:eastAsia="Arial" w:hAnsi="Arial"/>
                  <w:sz w:val="18"/>
                  <w:szCs w:val="18"/>
                  <w:u w:val="single" w:color="auto"/>
                  <w:color w:val="0000EE"/>
                  <w:w w:val="86"/>
                </w:rPr>
                <w:t>)</w:t>
              </w:r>
            </w:hyperlink>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32"/>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2018 Employee Stock Purchase Plan (incorporated by reference to Exhibit 10.11 to the Registrant’s Quarterly Report on Form 10-Q (File No.</w:t>
              </w:r>
            </w:hyperlink>
          </w:p>
        </w:tc>
      </w:tr>
      <w:tr>
        <w:trPr>
          <w:trHeight w:val="196"/>
        </w:trPr>
        <w:tc>
          <w:tcPr>
            <w:tcW w:w="10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001-38546))</w:t>
              </w:r>
            </w:hyperlink>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gridSpan w:val="32"/>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Lease Agreement by and between Exeter 3222 Phoenixville, L.P. and the Registrant, dated January 3, 2013 (incorporated by reference to</w:t>
              </w:r>
            </w:hyperlink>
          </w:p>
        </w:tc>
      </w:tr>
      <w:tr>
        <w:trPr>
          <w:trHeight w:val="196"/>
        </w:trPr>
        <w:tc>
          <w:tcPr>
            <w:tcW w:w="1080" w:type="dxa"/>
            <w:vAlign w:val="bottom"/>
          </w:tcPr>
          <w:p>
            <w:pPr>
              <w:spacing w:after="0"/>
              <w:rPr>
                <w:sz w:val="17"/>
                <w:szCs w:val="17"/>
                <w:color w:val="auto"/>
              </w:rPr>
            </w:pPr>
          </w:p>
        </w:tc>
        <w:tc>
          <w:tcPr>
            <w:tcW w:w="9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Exhibit 10.12 to the Registration Statement on Form S-1 (File No. 333-225307))</w:t>
              </w:r>
            </w:hyperlink>
          </w:p>
        </w:tc>
        <w:tc>
          <w:tcPr>
            <w:tcW w:w="520" w:type="dxa"/>
            <w:vAlign w:val="bottom"/>
            <w:gridSpan w:val="1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9920" w:type="dxa"/>
            <w:vAlign w:val="bottom"/>
            <w:tcBorders>
              <w:bottom w:val="single" w:sz="8" w:color="0000EE"/>
            </w:tcBorders>
            <w:gridSpan w:val="22"/>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Form of Non-Qualified Stock Option Agreement for the Amended and Restated 2003 Stock Incentive Plan, as amended, of the Registrant</w:t>
              </w:r>
            </w:hyperlink>
          </w:p>
        </w:tc>
        <w:tc>
          <w:tcPr>
            <w:tcW w:w="440" w:type="dxa"/>
            <w:vAlign w:val="bottom"/>
            <w:gridSpan w:val="10"/>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(incorporated by reference to Exhibit 10.13 to the Registrant’s Registration Statement on Form S-1 (File No. 333-225307))</w:t>
              </w:r>
            </w:hyperlink>
          </w:p>
        </w:tc>
        <w:tc>
          <w:tcPr>
            <w:tcW w:w="1480" w:type="dxa"/>
            <w:vAlign w:val="bottom"/>
            <w:gridSpan w:val="17"/>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Form of Incentive Stock Option Agreement for the Amended and Restated 2003 Stock Incentive Plan, as amended, of the Registrant</w:t>
              </w:r>
            </w:hyperlink>
          </w:p>
        </w:tc>
        <w:tc>
          <w:tcPr>
            <w:tcW w:w="820" w:type="dxa"/>
            <w:vAlign w:val="bottom"/>
            <w:gridSpan w:val="1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2"/>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(incorporated by reference to Exhibit 10.14 to the Registrant’s 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tcBorders>
              <w:bottom w:val="single" w:sz="8" w:color="0000EE"/>
            </w:tcBorders>
            <w:gridSpan w:val="25"/>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Forms of Grant Notice, Stock Option Agreement and Notice of Exercise under the 2018 Equity Incentive Plan (incorporated by reference to</w:t>
              </w:r>
            </w:hyperlink>
          </w:p>
        </w:tc>
        <w:tc>
          <w:tcPr>
            <w:tcW w:w="28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2"/>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Exhibit 10.15 to the Registrant’s 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tcBorders>
              <w:bottom w:val="single" w:sz="8" w:color="0000EE"/>
            </w:tcBorders>
            <w:gridSpan w:val="3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Forms of Restricted Stock Unit Grant Notice and Award Agreement under the 2018 Equity Incentive Plan (incorporated by reference to Exhibit</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2"/>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to the Registrant’s 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32"/>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Form of Severance Agreement (incorporated by reference to Exhibit 10.17 to the Registrant’s Registration Statement on Form S-1 (File No.</w:t>
              </w:r>
            </w:hyperlink>
          </w:p>
        </w:tc>
      </w:tr>
      <w:tr>
        <w:trPr>
          <w:trHeight w:val="196"/>
        </w:trPr>
        <w:tc>
          <w:tcPr>
            <w:tcW w:w="108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333-225307))</w:t>
              </w:r>
            </w:hyperlink>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32"/>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Restrictive Covenant and Invention Assignment Agreement (incorporated by reference to Exhibit 10.18 to the Registrant’s</w:t>
              </w:r>
            </w:hyperlink>
          </w:p>
        </w:tc>
      </w:tr>
      <w:tr>
        <w:trPr>
          <w:trHeight w:val="196"/>
        </w:trPr>
        <w:tc>
          <w:tcPr>
            <w:tcW w:w="1080" w:type="dxa"/>
            <w:vAlign w:val="bottom"/>
          </w:tcPr>
          <w:p>
            <w:pPr>
              <w:spacing w:after="0"/>
              <w:rPr>
                <w:sz w:val="17"/>
                <w:szCs w:val="17"/>
                <w:color w:val="auto"/>
              </w:rPr>
            </w:pPr>
          </w:p>
        </w:tc>
        <w:tc>
          <w:tcPr>
            <w:tcW w:w="9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Registration Statement on Form S-1 (File No. 333-225307))</w:t>
              </w:r>
            </w:hyperlink>
          </w:p>
        </w:tc>
        <w:tc>
          <w:tcPr>
            <w:tcW w:w="920" w:type="dxa"/>
            <w:vAlign w:val="bottom"/>
            <w:gridSpan w:val="1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10360" w:type="dxa"/>
            <w:vAlign w:val="bottom"/>
            <w:gridSpan w:val="32"/>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Offer Letter, dated February 27, 2018, by and between the Registrant and Daniel Guthrie (incorporated by reference to Exhibit 10.19 to the</w:t>
              </w:r>
            </w:hyperlink>
          </w:p>
        </w:tc>
      </w:tr>
      <w:tr>
        <w:trPr>
          <w:trHeight w:val="196"/>
        </w:trPr>
        <w:tc>
          <w:tcPr>
            <w:tcW w:w="108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Registrant’s Registration Statement on Form S-1 (File No. 333-225307))</w:t>
              </w:r>
            </w:hyperlink>
          </w:p>
        </w:tc>
        <w:tc>
          <w:tcPr>
            <w:tcW w:w="4740" w:type="dxa"/>
            <w:vAlign w:val="bottom"/>
            <w:tcBorders>
              <w:top w:val="single" w:sz="8" w:color="0000EE"/>
            </w:tcBorders>
            <w:gridSpan w:val="13"/>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10360" w:type="dxa"/>
            <w:vAlign w:val="bottom"/>
            <w:gridSpan w:val="32"/>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Offer Letter, dated November 10, 2017, by and between the Registrant and Yelena Tropsha (incorporated by reference to Exhibit 10.20 to the</w:t>
              </w:r>
            </w:hyperlink>
          </w:p>
        </w:tc>
      </w:tr>
      <w:tr>
        <w:trPr>
          <w:trHeight w:val="196"/>
        </w:trPr>
        <w:tc>
          <w:tcPr>
            <w:tcW w:w="1080" w:type="dxa"/>
            <w:vAlign w:val="bottom"/>
          </w:tcPr>
          <w:p>
            <w:pPr>
              <w:spacing w:after="0"/>
              <w:rPr>
                <w:sz w:val="17"/>
                <w:szCs w:val="17"/>
                <w:color w:val="auto"/>
              </w:rPr>
            </w:pPr>
          </w:p>
        </w:tc>
        <w:tc>
          <w:tcPr>
            <w:tcW w:w="101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Registrant’s Registration Statement on Form S-1 (File No. 333-225307))</w:t>
              </w:r>
            </w:hyperlink>
          </w:p>
        </w:tc>
        <w:tc>
          <w:tcPr>
            <w:tcW w:w="200" w:type="dxa"/>
            <w:vAlign w:val="bottom"/>
            <w:gridSpan w:val="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10200" w:type="dxa"/>
            <w:vAlign w:val="bottom"/>
            <w:tcBorders>
              <w:bottom w:val="single" w:sz="8" w:color="0000EE"/>
            </w:tcBorders>
            <w:gridSpan w:val="28"/>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Non-Employee Director Compensation Policy (incorporated by reference to Exhibit 10.21 to the Registrant’s Registration Statement on Form</w:t>
              </w:r>
            </w:hyperlink>
          </w:p>
        </w:tc>
        <w:tc>
          <w:tcPr>
            <w:tcW w:w="16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360" w:type="dxa"/>
            <w:vAlign w:val="bottom"/>
            <w:gridSpan w:val="3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S-1 (File No. 333-225307))</w:t>
              </w:r>
            </w:hyperlink>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10.22◊</w:t>
            </w:r>
          </w:p>
        </w:tc>
        <w:tc>
          <w:tcPr>
            <w:tcW w:w="10360" w:type="dxa"/>
            <w:vAlign w:val="bottom"/>
            <w:gridSpan w:val="32"/>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Amendment No. 1 to Distribution Agreement, dated May 31, 2019, by and between the Registrant and Teijin Pharma Limited (incorporated by</w:t>
              </w:r>
            </w:hyperlink>
          </w:p>
        </w:tc>
      </w:tr>
      <w:tr>
        <w:trPr>
          <w:trHeight w:val="196"/>
        </w:trPr>
        <w:tc>
          <w:tcPr>
            <w:tcW w:w="1080" w:type="dxa"/>
            <w:vAlign w:val="bottom"/>
          </w:tcPr>
          <w:p>
            <w:pPr>
              <w:spacing w:after="0"/>
              <w:rPr>
                <w:sz w:val="17"/>
                <w:szCs w:val="17"/>
                <w:color w:val="auto"/>
              </w:rPr>
            </w:pPr>
          </w:p>
        </w:tc>
        <w:tc>
          <w:tcPr>
            <w:tcW w:w="102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reference to Exhibit 10.2 to the Form 10-Q filed August 6, 2019)</w:t>
              </w:r>
            </w:hyperlink>
          </w:p>
        </w:tc>
        <w:tc>
          <w:tcPr>
            <w:tcW w:w="8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10.23+</w:t>
            </w:r>
          </w:p>
        </w:tc>
        <w:tc>
          <w:tcPr>
            <w:tcW w:w="10360" w:type="dxa"/>
            <w:vAlign w:val="bottom"/>
            <w:gridSpan w:val="32"/>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Employment Offer Letter Agreement between Neuronetics, Inc. and Stephen Furlong dated July 1, 2019 (incorporated by reference to Exhibit</w:t>
              </w:r>
            </w:hyperlink>
          </w:p>
        </w:tc>
      </w:tr>
      <w:tr>
        <w:trPr>
          <w:trHeight w:val="196"/>
        </w:trPr>
        <w:tc>
          <w:tcPr>
            <w:tcW w:w="1080" w:type="dxa"/>
            <w:vAlign w:val="bottom"/>
          </w:tcPr>
          <w:p>
            <w:pPr>
              <w:spacing w:after="0"/>
              <w:rPr>
                <w:sz w:val="17"/>
                <w:szCs w:val="17"/>
                <w:color w:val="auto"/>
              </w:rPr>
            </w:pPr>
          </w:p>
        </w:tc>
        <w:tc>
          <w:tcPr>
            <w:tcW w:w="102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Form 8-K filed July 2, 2019)</w:t>
              </w:r>
            </w:hyperlink>
          </w:p>
        </w:tc>
        <w:tc>
          <w:tcPr>
            <w:tcW w:w="14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gridSpan w:val="3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Consent of KPMG LLP,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2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Certification of the Principal Executive Officer pursuant to Rule 13a-14(a) or 15d-14(a) of the Securities Exchange Act of 1934.</w:t>
              </w:r>
            </w:hyperlink>
          </w:p>
        </w:tc>
        <w:tc>
          <w:tcPr>
            <w:tcW w:w="1120" w:type="dxa"/>
            <w:vAlign w:val="bottom"/>
            <w:gridSpan w:val="16"/>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2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Certification of the Principal Financial Officer pursuant to Rule 13a-14(a) or 15d-14(a) of the Securities Exchange Act of 1934.</w:t>
              </w:r>
            </w:hyperlink>
          </w:p>
        </w:tc>
        <w:tc>
          <w:tcPr>
            <w:tcW w:w="1080" w:type="dxa"/>
            <w:vAlign w:val="bottom"/>
            <w:gridSpan w:val="15"/>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gridSpan w:val="32"/>
          </w:tcPr>
          <w:p>
            <w:pPr>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Certification of the principal executive and financial officer pursuant to Rule 13a-14(b) of the Securities Exchange Act of 1934, as amended,</w:t>
              </w:r>
            </w:hyperlink>
          </w:p>
        </w:tc>
      </w:tr>
      <w:tr>
        <w:trPr>
          <w:trHeight w:val="196"/>
        </w:trPr>
        <w:tc>
          <w:tcPr>
            <w:tcW w:w="1080" w:type="dxa"/>
            <w:vAlign w:val="bottom"/>
          </w:tcPr>
          <w:p>
            <w:pPr>
              <w:spacing w:after="0"/>
              <w:rPr>
                <w:sz w:val="17"/>
                <w:szCs w:val="17"/>
                <w:color w:val="auto"/>
              </w:rPr>
            </w:pPr>
          </w:p>
        </w:tc>
        <w:tc>
          <w:tcPr>
            <w:tcW w:w="101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and 18 U.S.C. section 1350</w:t>
              </w:r>
              <w:r>
                <w:rPr>
                  <w:rFonts w:ascii="Arial" w:cs="Arial" w:eastAsia="Arial" w:hAnsi="Arial"/>
                  <w:sz w:val="18"/>
                  <w:szCs w:val="18"/>
                  <w:color w:val="000000"/>
                </w:rPr>
                <w:t>.</w:t>
              </w:r>
            </w:hyperlink>
          </w:p>
        </w:tc>
        <w:tc>
          <w:tcPr>
            <w:tcW w:w="240" w:type="dxa"/>
            <w:vAlign w:val="bottom"/>
            <w:gridSpan w:val="6"/>
          </w:tcPr>
          <w:p>
            <w:pPr>
              <w:spacing w:after="0"/>
              <w:rPr>
                <w:sz w:val="17"/>
                <w:szCs w:val="17"/>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9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3"/>
              </w:rPr>
              <w:t>XBRL Instance Document</w:t>
            </w:r>
          </w:p>
        </w:tc>
        <w:tc>
          <w:tcPr>
            <w:tcW w:w="8380" w:type="dxa"/>
            <w:vAlign w:val="bottom"/>
            <w:gridSpan w:val="28"/>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gridSpan w:val="3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gridSpan w:val="3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7"/>
        </w:trPr>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680" w:type="dxa"/>
            <w:vAlign w:val="bottom"/>
          </w:tcPr>
          <w:p>
            <w:pPr>
              <w:ind w:left="2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440" w:hanging="432"/>
        <w:spacing w:after="0" w:line="277"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NEURONETICS, INC.</w:t>
      </w:r>
    </w:p>
    <w:p>
      <w:pPr>
        <w:spacing w:after="0" w:line="225"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Thatcher</w:t>
      </w:r>
    </w:p>
    <w:p>
      <w:pPr>
        <w:spacing w:after="0" w:line="23"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Christopher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-101600</wp:posOffset>
            </wp:positionV>
            <wp:extent cx="23837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80" w:lineRule="exact"/>
        <w:rPr>
          <w:sz w:val="20"/>
          <w:szCs w:val="20"/>
          <w:color w:val="auto"/>
        </w:rPr>
      </w:pPr>
    </w:p>
    <w:p>
      <w:pPr>
        <w:ind w:left="6860"/>
        <w:spacing w:after="0"/>
        <w:tabs>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08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Christopher Thatcher</w:t>
            </w:r>
          </w:p>
        </w:tc>
        <w:tc>
          <w:tcPr>
            <w:tcW w:w="14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Stephen Furlong</w:t>
            </w:r>
          </w:p>
        </w:tc>
        <w:tc>
          <w:tcPr>
            <w:tcW w:w="14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Blanchard</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Cheryl Blanchard</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Campe</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Stephen Campe</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Sheryl Conley</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Sheryl Conley</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Farley</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Brian Farley</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Wilfred Jaeger, M.D.</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Wilfred Jaeger, M.D.</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Muir</w:t>
            </w:r>
          </w:p>
        </w:tc>
        <w:tc>
          <w:tcPr>
            <w:tcW w:w="1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March 3, 2020</w:t>
            </w:r>
          </w:p>
        </w:tc>
      </w:tr>
      <w:tr>
        <w:trPr>
          <w:trHeight w:val="228"/>
        </w:trPr>
        <w:tc>
          <w:tcPr>
            <w:tcW w:w="3240" w:type="dxa"/>
            <w:vAlign w:val="bottom"/>
          </w:tcPr>
          <w:p>
            <w:pPr>
              <w:spacing w:after="0"/>
              <w:rPr>
                <w:sz w:val="20"/>
                <w:szCs w:val="20"/>
                <w:color w:val="auto"/>
              </w:rPr>
            </w:pPr>
            <w:r>
              <w:rPr>
                <w:rFonts w:ascii="Arial" w:cs="Arial" w:eastAsia="Arial" w:hAnsi="Arial"/>
                <w:sz w:val="18"/>
                <w:szCs w:val="18"/>
                <w:b w:val="1"/>
                <w:bCs w:val="1"/>
                <w:color w:val="auto"/>
              </w:rPr>
              <w:t>Glenn Muir</w:t>
            </w:r>
          </w:p>
        </w:tc>
        <w:tc>
          <w:tcPr>
            <w:tcW w:w="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337" w:right="239" w:bottom="1440" w:gutter="0" w:footer="0" w:header="0"/>
        </w:sectPr>
      </w:pPr>
    </w:p>
    <w:bookmarkStart w:id="115" w:name="page116"/>
    <w:bookmarkEnd w:id="115"/>
    <w:p>
      <w:pPr>
        <w:ind w:left="105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i w:val="1"/>
          <w:iCs w:val="1"/>
          <w:color w:val="auto"/>
        </w:rPr>
        <w:t>The following description summarizes certain of the terms of the capital stock of Neuronetics, Inc. This description does not purport to be complete and is qualified in its entirety by reference to our amended and restated certificate of incorporation, as amended, and our bylaws, as amended, each of which are incorporated by reference as an exhibit to the Annual Report on Form 10-K of which this Exhibit is a part. We encourage you to read our amended and restated certificate of incorporation, bylaws and the applicable provisions of Delaware law for additional information. Unless the context requires otherwise, all references to “we”, “us,” “our” and “Company” in this section refer solely to Neuronetics, Inc. and not to any subsidiaries that we may have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Under our amended and restated certificate of incorporation we are authorized to issue up to 200,000,000 shares of common stock, par value $0.01 per share, and 10,000,000 shares of preferred stock, par value $0.01 per share, all of which shares of preferred stock are undesignated. Our board of directors may establish the rights and preferences of the preferred stock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Each holder of our common stock is entitled to one vote for each share of common stock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further action by our stockholders, to issue up to 10,000,000 shares of preferred stock in one or more series and to fix the designations, number of shares, rights, voting powers, preferences, privileges and the qualifications, limitations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purpose of authorizing our board of directors to issue preferred stock and determine its rights and preferences is to eliminate delays associated with a stockholder vote on specific issuances. Our issuance of preferred stock with voting or conversion rights could adversely affect the voting power of holders of common stock and the likelihood and amount that such holders will receive dividend payments and payments upon liquidation. In addition, the issuance of preferred stock, while providing flexibility in connection with possible acquisitions and other corporate purposes, could, among other things, have the effect of delaying, deferring or preventing a change of control or other corporate action, or make the removal of management more difficult. Additionally, the issuance of preferred stock may have the effect of decreasing the market price of the common stock and the voting and other rights of the holders thereof.</w:t>
      </w:r>
    </w:p>
    <w:p>
      <w:pPr>
        <w:spacing w:after="0" w:line="173"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Our board of directors will fix the designations, number of shares, rights voting powers, preferences and privileges of each series, as well as the qualifications, limitations or restrictions thereof, of the preferred stock of each series in the certificate of designation relating to that series.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9" w:lineRule="exact"/>
        <w:rPr>
          <w:sz w:val="20"/>
          <w:szCs w:val="20"/>
          <w:color w:val="auto"/>
        </w:rPr>
      </w:pPr>
    </w:p>
    <w:p>
      <w:pPr>
        <w:ind w:left="1740" w:hanging="868"/>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740" w:hanging="868"/>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w:t>
      </w:r>
    </w:p>
    <w:p>
      <w:pPr>
        <w:spacing w:after="0" w:line="62"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740" w:hanging="868"/>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740" w:hanging="868"/>
        <w:spacing w:after="0"/>
        <w:tabs>
          <w:tab w:leader="none" w:pos="1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authority of our board of directors to issue preferred stock with such terms as our board of directors may determine; and</w:t>
      </w:r>
    </w:p>
    <w:p>
      <w:pPr>
        <w:spacing w:after="0" w:line="128" w:lineRule="exact"/>
        <w:rPr>
          <w:rFonts w:ascii="Arial" w:cs="Arial" w:eastAsia="Arial" w:hAnsi="Arial"/>
          <w:sz w:val="17"/>
          <w:szCs w:val="17"/>
          <w:color w:val="auto"/>
        </w:rPr>
      </w:pPr>
    </w:p>
    <w:p>
      <w:pPr>
        <w:ind w:left="1740" w:right="20" w:hanging="868"/>
        <w:spacing w:after="0" w:line="308" w:lineRule="auto"/>
        <w:tabs>
          <w:tab w:leader="none" w:pos="1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147"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7" w:name="page118"/>
    <w:bookmarkEnd w:id="117"/>
    <w:p>
      <w:pPr>
        <w:jc w:val="both"/>
        <w:ind w:firstLine="877"/>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03" w:lineRule="exact"/>
        <w:rPr>
          <w:sz w:val="20"/>
          <w:szCs w:val="20"/>
          <w:color w:val="auto"/>
        </w:rPr>
      </w:pPr>
    </w:p>
    <w:p>
      <w:pPr>
        <w:ind w:left="1740" w:hanging="86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740" w:hanging="86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amended and restated certificate of incorporation, or our amended and restated bylaws; or</w:t>
      </w:r>
    </w:p>
    <w:p>
      <w:pPr>
        <w:spacing w:after="0" w:line="62" w:lineRule="exact"/>
        <w:rPr>
          <w:rFonts w:ascii="Arial" w:cs="Arial" w:eastAsia="Arial" w:hAnsi="Arial"/>
          <w:sz w:val="18"/>
          <w:szCs w:val="18"/>
          <w:color w:val="auto"/>
        </w:rPr>
      </w:pPr>
    </w:p>
    <w:p>
      <w:pPr>
        <w:ind w:left="1740" w:hanging="86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 xml:space="preserve">Our amended and restated certificate of incorporation further provides that the federal district courts of the United States of America will be the exclusive forum for resolving any complaint asserting a cause of action arising under the Securities Act of 1933, as amended (the “Securities Act”). On December 19, 2018, the Delaware Chancery Court issued an opinion in </w:t>
      </w:r>
      <w:r>
        <w:rPr>
          <w:rFonts w:ascii="Arial" w:cs="Arial" w:eastAsia="Arial" w:hAnsi="Arial"/>
          <w:sz w:val="17"/>
          <w:szCs w:val="17"/>
          <w:i w:val="1"/>
          <w:iCs w:val="1"/>
          <w:color w:val="auto"/>
        </w:rPr>
        <w:t>Sciabacucchi v. Salzberg, C.A. No. 2017-0931-JTL,</w:t>
      </w:r>
      <w:r>
        <w:rPr>
          <w:rFonts w:ascii="Arial" w:cs="Arial" w:eastAsia="Arial" w:hAnsi="Arial"/>
          <w:sz w:val="17"/>
          <w:szCs w:val="17"/>
          <w:color w:val="auto"/>
        </w:rPr>
        <w:t xml:space="preserve"> invalidating a similar provision in the certificates of incorporation of three other Delaware corporations that each purported to limit to federal court the forum in which a stockholder could bring a claim under the Securities Act. In light of this decision, we do not currently intend to enforce the federal forum selection provision unless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is reversed on appeal, which appeal has been made. If the Delaware Supreme Court affirms the Delaware Chancery Court’s decision in </w:t>
      </w:r>
      <w:r>
        <w:rPr>
          <w:rFonts w:ascii="Arial" w:cs="Arial" w:eastAsia="Arial" w:hAnsi="Arial"/>
          <w:sz w:val="17"/>
          <w:szCs w:val="17"/>
          <w:i w:val="1"/>
          <w:iCs w:val="1"/>
          <w:color w:val="auto"/>
        </w:rPr>
        <w:t>Sciabacucchi</w:t>
      </w:r>
      <w:r>
        <w:rPr>
          <w:rFonts w:ascii="Arial" w:cs="Arial" w:eastAsia="Arial" w:hAnsi="Arial"/>
          <w:sz w:val="17"/>
          <w:szCs w:val="17"/>
          <w:color w:val="auto"/>
        </w:rPr>
        <w:t>. In order to accommodate the timely filing of our proxy materials for the annual meeting of stockholders to be held in 2020, we would intend to continue to not enforce the federal forum selection provision and would intend to seek approval by our stockholders to amend our amended and restated certificate of incorporation to remove the federal forum selection provision for Securities Act claims at the next regularly-scheduled annual meeting of stockholders following the annual meeting of stockholders to be held in 2020 where it is reasonably practicable to do so.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Amendment to the Ninth Amended and Restated Certificate of Incorporation</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Company’s Ninth Amended and Restated Certificate of Incorporation was amended on May 30, 2019, following stockholder approval at the annual meeting held on May 28, 2019, to provide that any of our directors or our entire Board of Directors may be removed, with or without cause, by the holders of a majority of our capital stock then entitled to vote on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for trading on Nasdaq under the symbol “STIM.”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1" w:right="239" w:bottom="1440" w:gutter="0" w:footer="0" w:header="0"/>
        </w:sectPr>
      </w:pPr>
    </w:p>
    <w:bookmarkStart w:id="118" w:name="page119"/>
    <w:bookmarkEnd w:id="118"/>
    <w:p>
      <w:pPr>
        <w:ind w:left="10300"/>
        <w:spacing w:after="0"/>
        <w:rPr>
          <w:sz w:val="20"/>
          <w:szCs w:val="20"/>
          <w:color w:val="auto"/>
        </w:rPr>
      </w:pPr>
      <w:r>
        <w:rPr>
          <w:rFonts w:ascii="Arial" w:cs="Arial" w:eastAsia="Arial" w:hAnsi="Arial"/>
          <w:sz w:val="19"/>
          <w:szCs w:val="19"/>
          <w:b w:val="1"/>
          <w:bCs w:val="1"/>
          <w:color w:val="auto"/>
        </w:rPr>
        <w:t>Exhibit 23.1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Neuronetics, Inc.:</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consent to the incorporation by reference in the registration statement (No. 333-226343) on Form S-8 and in the registration statement (No. 333-233047) on Form S-3 of Neuronetics, Inc. of our report dated March 3, 2020, with respect to the balance sheets of Neuronetics, Inc. as of December 31, 2019 and 2018, and the related statements of operations, changes in convertible preferred stock and stockholders’ equity (deficit), and cash flows for each of the years in the three-year period ended December 31, 2019, and the related notes (collectively, the financial statements), which report appears in the December 31, 2019 annual report on Form 10-K of Neuronetics, Inc. Our report refers to a change in the accounting for revenue and leases in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 2020</w:t>
      </w:r>
    </w:p>
    <w:p>
      <w:pPr>
        <w:sectPr>
          <w:pgSz w:w="11900" w:h="16838" w:orient="portrait"/>
          <w:cols w:equalWidth="0" w:num="1">
            <w:col w:w="11420"/>
          </w:cols>
          <w:pgMar w:left="240" w:top="342"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Thatcher, certify that:</w:t>
      </w:r>
    </w:p>
    <w:p>
      <w:pPr>
        <w:spacing w:after="0" w:line="117" w:lineRule="exact"/>
        <w:rPr>
          <w:sz w:val="20"/>
          <w:szCs w:val="20"/>
          <w:color w:val="auto"/>
        </w:rPr>
      </w:pPr>
    </w:p>
    <w:p>
      <w:pPr>
        <w:ind w:left="820" w:hanging="812"/>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17" w:lineRule="exact"/>
        <w:rPr>
          <w:rFonts w:ascii="Arial" w:cs="Arial" w:eastAsia="Arial" w:hAnsi="Arial"/>
          <w:sz w:val="18"/>
          <w:szCs w:val="18"/>
          <w:color w:val="auto"/>
        </w:rPr>
      </w:pPr>
    </w:p>
    <w:p>
      <w:pPr>
        <w:jc w:val="both"/>
        <w:ind w:left="820" w:hanging="812"/>
        <w:spacing w:after="0" w:line="26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64"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620" w:hanging="802"/>
        <w:spacing w:after="0" w:line="342" w:lineRule="auto"/>
        <w:tabs>
          <w:tab w:leader="none" w:pos="16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620" w:hanging="802"/>
        <w:spacing w:after="0" w:line="26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620" w:hanging="802"/>
        <w:spacing w:after="0" w:line="308" w:lineRule="auto"/>
        <w:tabs>
          <w:tab w:leader="none" w:pos="16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620" w:hanging="802"/>
        <w:spacing w:after="0" w:line="277"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March 3, 2020</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320" w:type="dxa"/>
            <w:vAlign w:val="bottom"/>
          </w:tcPr>
          <w:p>
            <w:pPr>
              <w:spacing w:after="0"/>
              <w:rPr>
                <w:sz w:val="16"/>
                <w:szCs w:val="16"/>
                <w:color w:val="auto"/>
              </w:rPr>
            </w:pPr>
          </w:p>
        </w:tc>
        <w:tc>
          <w:tcPr>
            <w:tcW w:w="258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32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117"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17" w:lineRule="exact"/>
        <w:rPr>
          <w:rFonts w:ascii="Arial" w:cs="Arial" w:eastAsia="Arial" w:hAnsi="Arial"/>
          <w:sz w:val="18"/>
          <w:szCs w:val="18"/>
          <w:color w:val="auto"/>
        </w:rPr>
      </w:pPr>
    </w:p>
    <w:p>
      <w:pPr>
        <w:jc w:val="both"/>
        <w:ind w:left="820" w:hanging="812"/>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820" w:hanging="812"/>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620" w:hanging="802"/>
        <w:spacing w:after="0" w:line="342" w:lineRule="auto"/>
        <w:tabs>
          <w:tab w:leader="none" w:pos="16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620" w:hanging="802"/>
        <w:spacing w:after="0" w:line="264"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620" w:hanging="802"/>
        <w:spacing w:after="0" w:line="308" w:lineRule="auto"/>
        <w:tabs>
          <w:tab w:leader="none" w:pos="16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620" w:hanging="802"/>
        <w:spacing w:after="0" w:line="277"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March 3, 2020</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320" w:type="dxa"/>
            <w:vAlign w:val="bottom"/>
          </w:tcPr>
          <w:p>
            <w:pPr>
              <w:spacing w:after="0"/>
              <w:rPr>
                <w:sz w:val="16"/>
                <w:szCs w:val="16"/>
                <w:color w:val="auto"/>
              </w:rPr>
            </w:pPr>
          </w:p>
        </w:tc>
        <w:tc>
          <w:tcPr>
            <w:tcW w:w="258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32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Christopher Thatcher, President and Chief Executive Officer of Neuronetics, Inc. (the “Company”), and Stephen Furlong, Vice President, Finance and Chief Financial Officer of the Company, each hereby certifies that, to the best of his or her knowledge:</w:t>
      </w:r>
    </w:p>
    <w:p>
      <w:pPr>
        <w:spacing w:after="0" w:line="190" w:lineRule="exact"/>
        <w:rPr>
          <w:sz w:val="20"/>
          <w:szCs w:val="20"/>
          <w:color w:val="auto"/>
        </w:rPr>
      </w:pPr>
    </w:p>
    <w:p>
      <w:pPr>
        <w:ind w:left="880" w:right="60" w:hanging="872"/>
        <w:spacing w:after="0" w:line="277" w:lineRule="auto"/>
        <w:tabs>
          <w:tab w:leader="none" w:pos="8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2019,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880" w:right="300" w:hanging="872"/>
        <w:spacing w:after="0" w:line="277" w:lineRule="auto"/>
        <w:tabs>
          <w:tab w:leader="none" w:pos="8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3rd day of March,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/s/ Christopher Thatcher</w:t>
            </w:r>
          </w:p>
        </w:tc>
        <w:tc>
          <w:tcPr>
            <w:tcW w:w="800" w:type="dxa"/>
            <w:vAlign w:val="bottom"/>
          </w:tcPr>
          <w:p>
            <w:pPr>
              <w:ind w:left="8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Stephen Furlong</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4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Thatcher</w:t>
            </w:r>
          </w:p>
        </w:tc>
        <w:tc>
          <w:tcPr>
            <w:tcW w:w="800" w:type="dxa"/>
            <w:vAlign w:val="bottom"/>
          </w:tcPr>
          <w:p>
            <w:pPr>
              <w:ind w:left="80"/>
              <w:spacing w:after="0"/>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Furlong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w:t>
            </w:r>
          </w:p>
        </w:tc>
        <w:tc>
          <w:tcPr>
            <w:tcW w:w="800" w:type="dxa"/>
            <w:vAlign w:val="bottom"/>
          </w:tcPr>
          <w:p>
            <w:pPr>
              <w:ind w:left="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620" w:type="dxa"/>
            <w:vAlign w:val="bottom"/>
          </w:tcPr>
          <w:p>
            <w:pPr>
              <w:spacing w:after="0"/>
              <w:rPr>
                <w:sz w:val="20"/>
                <w:szCs w:val="20"/>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Neuronetics,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lowerRoman"/>
      <w:start w:val="7"/>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lowerRoman"/>
      <w:start w:val="2"/>
    </w:lvl>
  </w:abstractNum>
  <w:abstractNum w:abstractNumId="36">
    <w:nsid w:val="12E685FB"/>
    <w:multiLevelType w:val="hybridMultilevel"/>
    <w:lvl w:ilvl="0">
      <w:lvlJc w:val="left"/>
      <w:lvlText w:val="%1."/>
      <w:numFmt w:val="decimal"/>
      <w:start w:val="2"/>
    </w:lvl>
  </w:abstractNum>
  <w:abstractNum w:abstractNumId="37">
    <w:nsid w:val="70C6A529"/>
    <w:multiLevelType w:val="hybridMultilevel"/>
    <w:lvl w:ilvl="0">
      <w:lvlJc w:val="left"/>
      <w:lvlText w:val="%1."/>
      <w:numFmt w:val="decimal"/>
      <w:start w:val="3"/>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3"/>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4"/>
    </w:lvl>
  </w:abstractNum>
  <w:abstractNum w:abstractNumId="44">
    <w:nsid w:val="39386575"/>
    <w:multiLevelType w:val="hybridMultilevel"/>
    <w:lvl w:ilvl="0">
      <w:lvlJc w:val="left"/>
      <w:lvlText w:val="%1."/>
      <w:numFmt w:val="decimal"/>
      <w:start w:val="5"/>
    </w:lvl>
  </w:abstractNum>
  <w:abstractNum w:abstractNumId="45">
    <w:nsid w:val="1CF10FD8"/>
    <w:multiLevelType w:val="hybridMultilevel"/>
    <w:lvl w:ilvl="0">
      <w:lvlJc w:val="left"/>
      <w:lvlText w:val="%1."/>
      <w:numFmt w:val="decimal"/>
      <w:start w:val="6"/>
    </w:lvl>
  </w:abstractNum>
  <w:abstractNum w:abstractNumId="46">
    <w:nsid w:val="180115BE"/>
    <w:multiLevelType w:val="hybridMultilevel"/>
    <w:lvl w:ilvl="0">
      <w:lvlJc w:val="left"/>
      <w:lvlText w:val="%1."/>
      <w:numFmt w:val="decimal"/>
      <w:start w:val="7"/>
    </w:lvl>
  </w:abstractNum>
  <w:abstractNum w:abstractNumId="47">
    <w:nsid w:val="235BA861"/>
    <w:multiLevelType w:val="hybridMultilevel"/>
    <w:lvl w:ilvl="0">
      <w:lvlJc w:val="left"/>
      <w:lvlText w:val="%1."/>
      <w:numFmt w:val="decimal"/>
      <w:start w:val="8"/>
    </w:lvl>
  </w:abstractNum>
  <w:abstractNum w:abstractNumId="48">
    <w:nsid w:val="47398C89"/>
    <w:multiLevelType w:val="hybridMultilevel"/>
    <w:lvl w:ilvl="0">
      <w:lvlJc w:val="left"/>
      <w:lvlText w:val="%1."/>
      <w:numFmt w:val="decimal"/>
      <w:start w:val="9"/>
    </w:lvl>
  </w:abstractNum>
  <w:abstractNum w:abstractNumId="49">
    <w:nsid w:val="354FE9F9"/>
    <w:multiLevelType w:val="hybridMultilevel"/>
    <w:lvl w:ilvl="0">
      <w:lvlJc w:val="left"/>
      <w:lvlText w:val="%1."/>
      <w:numFmt w:val="decimal"/>
      <w:start w:val="10"/>
    </w:lvl>
  </w:abstractNum>
  <w:abstractNum w:abstractNumId="50">
    <w:nsid w:val="15B5AF5C"/>
    <w:multiLevelType w:val="hybridMultilevel"/>
    <w:lvl w:ilvl="0">
      <w:lvlJc w:val="left"/>
      <w:lvlText w:val="%1."/>
      <w:numFmt w:val="decimal"/>
      <w:start w:val="11"/>
    </w:lvl>
  </w:abstractNum>
  <w:abstractNum w:abstractNumId="51">
    <w:nsid w:val="741226BB"/>
    <w:multiLevelType w:val="hybridMultilevel"/>
    <w:lvl w:ilvl="0">
      <w:lvlJc w:val="left"/>
      <w:lvlText w:val="%1."/>
      <w:numFmt w:val="decimal"/>
      <w:start w:val="12"/>
    </w:lvl>
  </w:abstractNum>
  <w:abstractNum w:abstractNumId="52">
    <w:nsid w:val="D34B6A8"/>
    <w:multiLevelType w:val="hybridMultilevel"/>
    <w:lvl w:ilvl="0">
      <w:lvlJc w:val="left"/>
      <w:lvlText w:val="%1."/>
      <w:numFmt w:val="decimal"/>
      <w:start w:val="13"/>
    </w:lvl>
  </w:abstractNum>
  <w:abstractNum w:abstractNumId="53">
    <w:nsid w:val="10233C99"/>
    <w:multiLevelType w:val="hybridMultilevel"/>
    <w:lvl w:ilvl="0">
      <w:lvlJc w:val="left"/>
      <w:lvlText w:val="%1."/>
      <w:numFmt w:val="decimal"/>
      <w:start w:val="14"/>
    </w:lvl>
  </w:abstractNum>
  <w:abstractNum w:abstractNumId="54">
    <w:nsid w:val="3F6AB60F"/>
    <w:multiLevelType w:val="hybridMultilevel"/>
    <w:lvl w:ilvl="0">
      <w:lvlJc w:val="left"/>
      <w:lvlText w:val="%1."/>
      <w:numFmt w:val="decimal"/>
      <w:start w:val="15"/>
    </w:lvl>
  </w:abstractNum>
  <w:abstractNum w:abstractNumId="55">
    <w:nsid w:val="61574095"/>
    <w:multiLevelType w:val="hybridMultilevel"/>
    <w:lvl w:ilvl="0">
      <w:lvlJc w:val="left"/>
      <w:lvlText w:val="%1."/>
      <w:numFmt w:val="decimal"/>
      <w:start w:val="16"/>
    </w:lvl>
  </w:abstractNum>
  <w:abstractNum w:abstractNumId="56">
    <w:nsid w:val="7E0C57B1"/>
    <w:multiLevelType w:val="hybridMultilevel"/>
    <w:lvl w:ilvl="0">
      <w:lvlJc w:val="left"/>
      <w:lvlText w:val="%1."/>
      <w:numFmt w:val="decimal"/>
      <w:start w:val="17"/>
    </w:lvl>
  </w:abstractNum>
  <w:abstractNum w:abstractNumId="57">
    <w:nsid w:val="77AE35EB"/>
    <w:multiLevelType w:val="hybridMultilevel"/>
    <w:lvl w:ilvl="0">
      <w:lvlJc w:val="left"/>
      <w:lvlText w:val="%1."/>
      <w:numFmt w:val="decimal"/>
      <w:start w:val="19"/>
    </w:lvl>
  </w:abstractNum>
  <w:abstractNum w:abstractNumId="58">
    <w:nsid w:val="579BE4F1"/>
    <w:multiLevelType w:val="hybridMultilevel"/>
    <w:lvl w:ilvl="0">
      <w:lvlJc w:val="left"/>
      <w:lvlText w:val="%1."/>
      <w:numFmt w:val="decimal"/>
      <w:start w:val="20"/>
    </w:lvl>
  </w:abstractNum>
  <w:abstractNum w:abstractNumId="59">
    <w:nsid w:val="310C50B3"/>
    <w:multiLevelType w:val="hybridMultilevel"/>
    <w:lvl w:ilvl="0">
      <w:lvlJc w:val="left"/>
      <w:lvlText w:val="%1."/>
      <w:numFmt w:val="decimal"/>
      <w:start w:val="2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34" Type="http://schemas.openxmlformats.org/officeDocument/2006/relationships/hyperlink" Target="http://www.sec.gov/Archives/edgar/data/1227636/000119312518213686/d860069dex31.htm" TargetMode="External"/><Relationship Id="rId135" Type="http://schemas.openxmlformats.org/officeDocument/2006/relationships/hyperlink" Target="http://www.sec.gov/Archives/edgar/data/0001227636/000119312519161336/d664443dex31.htm" TargetMode="External"/><Relationship Id="rId136" Type="http://schemas.openxmlformats.org/officeDocument/2006/relationships/hyperlink" Target="http://www.sec.gov/Archives/edgar/data/1227636/000119312518213686/d860069dex32.htm" TargetMode="External"/><Relationship Id="rId137" Type="http://schemas.openxmlformats.org/officeDocument/2006/relationships/hyperlink" Target="http://www.sec.gov/Archives/edgar/data/0001227636/000119312519161336/d664443dex32.htm" TargetMode="External"/><Relationship Id="rId138" Type="http://schemas.openxmlformats.org/officeDocument/2006/relationships/hyperlink" Target="http://www.sec.gov/Archives/edgar/data/1227636/000119312518193489/d542432dex41.htm" TargetMode="External"/><Relationship Id="rId139" Type="http://schemas.openxmlformats.org/officeDocument/2006/relationships/hyperlink" Target="http://www.sec.gov/Archives/edgar/data/1227636/000119312518179910/d542432dex42.htm" TargetMode="External"/><Relationship Id="rId140" Type="http://schemas.openxmlformats.org/officeDocument/2006/relationships/hyperlink" Target="http://www.sec.gov/Archives/edgar/data/1227636/000119312518179910/d542432dex43.htm" TargetMode="External"/><Relationship Id="rId141" Type="http://schemas.openxmlformats.org/officeDocument/2006/relationships/hyperlink" Target="http://www.sec.gov/Archives/edgar/data/1227636/000119312518179910/d542432dex101.htm" TargetMode="External"/><Relationship Id="rId142" Type="http://schemas.openxmlformats.org/officeDocument/2006/relationships/hyperlink" Target="http://www.sec.gov/Archives/edgar/data/1227636/000119312518179910/d542432dex102.htm" TargetMode="External"/><Relationship Id="rId143" Type="http://schemas.openxmlformats.org/officeDocument/2006/relationships/hyperlink" Target="http://www.sec.gov/Archives/edgar/data/1227636/000119312518179910/d542432dex103.htm" TargetMode="External"/><Relationship Id="rId144" Type="http://schemas.openxmlformats.org/officeDocument/2006/relationships/hyperlink" Target="http://www.sec.gov/Archives/edgar/data/1227636/000119312518179910/d542432dex104.htm" TargetMode="External"/><Relationship Id="rId145" Type="http://schemas.openxmlformats.org/officeDocument/2006/relationships/hyperlink" Target="http://www.sec.gov/Archives/edgar/data/1227636/000119312518179910/d542432dex105.htm" TargetMode="External"/><Relationship Id="rId146" Type="http://schemas.openxmlformats.org/officeDocument/2006/relationships/hyperlink" Target="http://www.sec.gov/Archives/edgar/data/1227636/000119312518179910/d542432dex106.htm" TargetMode="External"/><Relationship Id="rId147" Type="http://schemas.openxmlformats.org/officeDocument/2006/relationships/hyperlink" Target="http://www.sec.gov/Archives/edgar/data/1227636/000119312518179910/d542432dex107.htm" TargetMode="External"/><Relationship Id="rId148" Type="http://schemas.openxmlformats.org/officeDocument/2006/relationships/hyperlink" Target="http://www.sec.gov/Archives/edgar/data/1227636/000119312520059619/d895653dex101.htm" TargetMode="External"/><Relationship Id="rId149" Type="http://schemas.openxmlformats.org/officeDocument/2006/relationships/hyperlink" Target="http://www.sec.gov/Archives/edgar/data/1227636/000119312518179910/d542432dex109.htm" TargetMode="External"/><Relationship Id="rId152" Type="http://schemas.openxmlformats.org/officeDocument/2006/relationships/hyperlink" Target="http://www.sec.gov/Archives/edgar/data/1227636/000156459018027435/stim-ex1010_49.htm" TargetMode="External"/><Relationship Id="rId153" Type="http://schemas.openxmlformats.org/officeDocument/2006/relationships/hyperlink" Target="http://www.sec.gov/Archives/edgar/data/1227636/000156459018027435/stim-ex1011_48.htm" TargetMode="External"/><Relationship Id="rId154" Type="http://schemas.openxmlformats.org/officeDocument/2006/relationships/hyperlink" Target="http://www.sec.gov/Archives/edgar/data/1227636/000119312518179910/d542432dex1012.htm" TargetMode="External"/><Relationship Id="rId155" Type="http://schemas.openxmlformats.org/officeDocument/2006/relationships/hyperlink" Target="http://www.sec.gov/Archives/edgar/data/1227636/000119312518179910/d542432dex1013.htm" TargetMode="External"/><Relationship Id="rId156" Type="http://schemas.openxmlformats.org/officeDocument/2006/relationships/hyperlink" Target="http://www.sec.gov/Archives/edgar/data/1227636/000119312518179910/d542432dex1014.htm" TargetMode="External"/><Relationship Id="rId157" Type="http://schemas.openxmlformats.org/officeDocument/2006/relationships/hyperlink" Target="http://www.sec.gov/Archives/edgar/data/1227636/000119312518179910/d542432dex1015.htm" TargetMode="External"/><Relationship Id="rId158" Type="http://schemas.openxmlformats.org/officeDocument/2006/relationships/hyperlink" Target="http://www.sec.gov/Archives/edgar/data/1227636/000119312518179910/d542432dex1016.htm" TargetMode="External"/><Relationship Id="rId159" Type="http://schemas.openxmlformats.org/officeDocument/2006/relationships/hyperlink" Target="http://www.sec.gov/Archives/edgar/data/1227636/000119312518179910/d542432dex1017.htm" TargetMode="External"/><Relationship Id="rId160" Type="http://schemas.openxmlformats.org/officeDocument/2006/relationships/hyperlink" Target="http://www.sec.gov/Archives/edgar/data/1227636/000119312518179910/d542432dex1018.htm" TargetMode="External"/><Relationship Id="rId161" Type="http://schemas.openxmlformats.org/officeDocument/2006/relationships/hyperlink" Target="http://www.sec.gov/Archives/edgar/data/1227636/000119312518179910/d542432dex1019.htm" TargetMode="External"/><Relationship Id="rId162" Type="http://schemas.openxmlformats.org/officeDocument/2006/relationships/hyperlink" Target="http://www.sec.gov/Archives/edgar/data/1227636/000119312518179910/d542432dex1020.htm" TargetMode="External"/><Relationship Id="rId163" Type="http://schemas.openxmlformats.org/officeDocument/2006/relationships/hyperlink" Target="http://www.sec.gov/Archives/edgar/data/1227636/000119312518193489/d542432dex1021.htm" TargetMode="External"/><Relationship Id="rId164" Type="http://schemas.openxmlformats.org/officeDocument/2006/relationships/hyperlink" Target="http://www.sec.gov/Archives/edgar/data/0001227636/000156459019029364/stim-ex102_266.htm" TargetMode="External"/><Relationship Id="rId165" Type="http://schemas.openxmlformats.org/officeDocument/2006/relationships/hyperlink" Target="http://www.sec.gov/Archives/edgar/data/0001227636/000119312519188335/d77005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2020-03-03T16:00:37Z</dcterms:created>
  <dcterms:modified xsi:type="dcterms:W3CDTF">2020-03-03T16:00:37Z</dcterms:modified>
</cp:coreProperties>
</file>