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Neuronetics,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Jorey Chernett</w:t>
      </w:r>
    </w:p>
    <w:p>
      <w:pPr>
        <w:spacing w:after="0" w:line="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0000FF"/>
        </w:rPr>
        <w:t>6222 Indianwood Tr.,</w:t>
      </w:r>
    </w:p>
    <w:p>
      <w:pPr>
        <w:ind w:left="3560"/>
        <w:spacing w:after="0" w:line="230" w:lineRule="auto"/>
        <w:rPr>
          <w:sz w:val="20"/>
          <w:szCs w:val="20"/>
          <w:color w:val="auto"/>
        </w:rPr>
      </w:pPr>
      <w:r>
        <w:rPr>
          <w:rFonts w:ascii="Times New Roman" w:cs="Times New Roman" w:eastAsia="Times New Roman" w:hAnsi="Times New Roman"/>
          <w:sz w:val="22"/>
          <w:szCs w:val="22"/>
          <w:b w:val="1"/>
          <w:bCs w:val="1"/>
          <w:color w:val="0000FF"/>
        </w:rPr>
        <w:t>Bloomfield Hills, MI, 48301</w:t>
      </w:r>
    </w:p>
    <w:p>
      <w:pPr>
        <w:spacing w:after="0" w:line="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0000FF"/>
        </w:rPr>
        <w:t>(248) 469-8811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Chernett Jorey</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10,553,988.00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10,553,988.00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10,553,988.00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Neuronetics,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3222 PHOENIXVILLE PIKE, MALVERN, PENNSYLVANIA , 19355.</w:t>
      </w:r>
    </w:p>
    <w:p>
      <w:pPr>
        <w:spacing w:after="0" w:line="20" w:lineRule="exact"/>
        <w:rPr>
          <w:sz w:val="20"/>
          <w:szCs w:val="20"/>
          <w:color w:val="auto"/>
        </w:rPr>
      </w:pPr>
    </w:p>
    <w:p>
      <w:pPr>
        <w:jc w:val="right"/>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to Schedule 13D ("Amendment No. 2") amends and supplements the Schedule 13D initially</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filed by the Reporting Person on March 31, 2026 (the "Original Schedule 13D") with respect to the Shares. Except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specifically amended and supplemented hereby, the Original Schedule 13D remains in full force and effect. Capitalized terms used but not defined herein shall have the meanings ascribed to them in the Original Schedule 13D.</w:t>
      </w:r>
    </w:p>
    <w:p>
      <w:pPr>
        <w:spacing w:after="0" w:line="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20"/>
        <w:spacing w:after="0" w:line="256" w:lineRule="auto"/>
        <w:rPr>
          <w:sz w:val="20"/>
          <w:szCs w:val="20"/>
          <w:color w:val="auto"/>
        </w:rPr>
      </w:pPr>
      <w:r>
        <w:rPr>
          <w:rFonts w:ascii="Times New Roman" w:cs="Times New Roman" w:eastAsia="Times New Roman" w:hAnsi="Times New Roman"/>
          <w:sz w:val="22"/>
          <w:szCs w:val="22"/>
          <w:color w:val="auto"/>
        </w:rPr>
        <w:t>The 10,553,988 Shares held by Mr. Chernett were purchased with personal funds for an aggregate purchase price of approximately $20,619,936.</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20" w:hanging="912"/>
        <w:spacing w:after="0" w:line="282"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percentage of Shares beneficially owned by the Reporting Person is based upon 69,587,840 Shares outstanding as of May 1, 2026, as disclosed in the Issuer's Quarterly Report on Form 10-Q, filed with the U.S.</w:t>
      </w:r>
    </w:p>
    <w:p>
      <w:pPr>
        <w:sectPr>
          <w:pgSz w:w="11900" w:h="16838" w:orient="portrait"/>
          <w:cols w:equalWidth="0" w:num="1">
            <w:col w:w="11160"/>
          </w:cols>
          <w:pgMar w:left="360" w:top="126" w:right="379" w:bottom="0" w:gutter="0" w:footer="0" w:header="0"/>
          <w:type w:val="continuous"/>
        </w:sectPr>
      </w:pPr>
    </w:p>
    <w:bookmarkStart w:id="2" w:name="page3"/>
    <w:bookmarkEnd w:id="2"/>
    <w:p>
      <w:pPr>
        <w:ind w:left="920" w:right="120"/>
        <w:spacing w:after="0" w:line="249" w:lineRule="auto"/>
        <w:rPr>
          <w:sz w:val="20"/>
          <w:szCs w:val="20"/>
          <w:color w:val="auto"/>
        </w:rPr>
      </w:pPr>
      <w:r>
        <w:rPr>
          <w:rFonts w:ascii="Times New Roman" w:cs="Times New Roman" w:eastAsia="Times New Roman" w:hAnsi="Times New Roman"/>
          <w:sz w:val="22"/>
          <w:szCs w:val="22"/>
          <w:color w:val="auto"/>
        </w:rPr>
        <w:t>Securities and Exchange Commission (the "SEC") on May 5, 2026. As of the close of business on May 26, 2026, the Reporting Person beneficially owned 10,553,988 Shares. Percentage: Approximately 15.17%</w:t>
      </w:r>
    </w:p>
    <w:p>
      <w:pPr>
        <w:ind w:left="920" w:hanging="912"/>
        <w:spacing w:after="0" w:line="184" w:lineRule="auto"/>
        <w:tabs>
          <w:tab w:leader="none" w:pos="920" w:val="left"/>
        </w:tabs>
        <w:numPr>
          <w:ilvl w:val="0"/>
          <w:numId w:val="3"/>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8"/>
          <w:szCs w:val="18"/>
          <w:color w:val="auto"/>
        </w:rPr>
        <w:t>1. Sole power to vote or direct vote: 10,553,988 2. Shared power to vote or direct vote: 0 3. Sole power to dispose or</w:t>
      </w:r>
    </w:p>
    <w:p>
      <w:pPr>
        <w:ind w:left="920"/>
        <w:spacing w:after="0"/>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22"/>
          <w:szCs w:val="22"/>
          <w:color w:val="auto"/>
        </w:rPr>
        <w:t>direct the disposition: 10,553,988 4. Shared power to dispose or direct the disposition: 0</w:t>
      </w:r>
    </w:p>
    <w:p>
      <w:pPr>
        <w:spacing w:after="0" w:line="20" w:lineRule="exact"/>
        <w:rPr>
          <w:rFonts w:ascii="Times New Roman" w:cs="Times New Roman" w:eastAsia="Times New Roman" w:hAnsi="Times New Roman"/>
          <w:sz w:val="32"/>
          <w:szCs w:val="32"/>
          <w:color w:val="auto"/>
          <w:vertAlign w:val="subscript"/>
        </w:rPr>
      </w:pPr>
    </w:p>
    <w:p>
      <w:pPr>
        <w:ind w:left="920" w:right="1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transactions in the Shares by the Reporting Person since the filing of Amendment No. 1 to the Schedule 13D are set forth in more detail in Exhibit 1 attached hereto.</w:t>
      </w:r>
    </w:p>
    <w:p>
      <w:pPr>
        <w:spacing w:after="0" w:line="17" w:lineRule="exact"/>
        <w:rPr>
          <w:rFonts w:ascii="Times New Roman" w:cs="Times New Roman" w:eastAsia="Times New Roman" w:hAnsi="Times New Roman"/>
          <w:sz w:val="39"/>
          <w:szCs w:val="39"/>
          <w:color w:val="auto"/>
          <w:vertAlign w:val="subscript"/>
        </w:rPr>
      </w:pPr>
    </w:p>
    <w:p>
      <w:pPr>
        <w:ind w:left="920" w:right="1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 is known to have the right to receive, or the power to direct the receipt of dividends from, or proceeds from the sale of, the Shares.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1 - Transactions in the Securities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Chernett Jorey</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Jorey Chernett</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Jorey Chernett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ectPr>
          <w:pgSz w:w="11900" w:h="16838" w:orient="portrait"/>
          <w:cols w:equalWidth="0" w:num="1">
            <w:col w:w="11140"/>
          </w:cols>
          <w:pgMar w:left="360" w:top="111" w:right="3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in the Securities of the Issuer Since the Filing of Amendment No. 2 to the Schedule 13D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Shares of Common Stock</w:t>
            </w:r>
          </w:p>
        </w:tc>
        <w:tc>
          <w:tcPr>
            <w:tcW w:w="1220" w:type="dxa"/>
            <w:vAlign w:val="bottom"/>
          </w:tcPr>
          <w:p>
            <w:pPr>
              <w:spacing w:after="0"/>
              <w:rPr>
                <w:sz w:val="19"/>
                <w:szCs w:val="19"/>
                <w:color w:val="auto"/>
              </w:rPr>
            </w:pPr>
          </w:p>
        </w:tc>
        <w:tc>
          <w:tcPr>
            <w:tcW w:w="3580" w:type="dxa"/>
            <w:vAlign w:val="bottom"/>
            <w:gridSpan w:val="3"/>
          </w:tcPr>
          <w:p>
            <w:pPr>
              <w:jc w:val="center"/>
              <w:ind w:right="2820"/>
              <w:spacing w:after="0"/>
              <w:rPr>
                <w:sz w:val="20"/>
                <w:szCs w:val="20"/>
                <w:color w:val="auto"/>
              </w:rPr>
            </w:pPr>
            <w:r>
              <w:rPr>
                <w:rFonts w:ascii="Times New Roman" w:cs="Times New Roman" w:eastAsia="Times New Roman" w:hAnsi="Times New Roman"/>
                <w:sz w:val="18"/>
                <w:szCs w:val="18"/>
                <w:color w:val="auto"/>
                <w:w w:val="97"/>
              </w:rPr>
              <w:t>Price Per</w:t>
            </w:r>
          </w:p>
        </w:tc>
        <w:tc>
          <w:tcPr>
            <w:tcW w:w="242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color w:val="auto"/>
              </w:rPr>
              <w:t>Date of</w:t>
            </w:r>
          </w:p>
        </w:tc>
        <w:tc>
          <w:tcPr>
            <w:tcW w:w="0" w:type="dxa"/>
            <w:vAlign w:val="bottom"/>
          </w:tcPr>
          <w:p>
            <w:pPr>
              <w:spacing w:after="0"/>
              <w:rPr>
                <w:sz w:val="1"/>
                <w:szCs w:val="1"/>
                <w:color w:val="auto"/>
              </w:rPr>
            </w:pPr>
          </w:p>
        </w:tc>
      </w:tr>
      <w:tr>
        <w:trPr>
          <w:trHeight w:val="162"/>
        </w:trPr>
        <w:tc>
          <w:tcPr>
            <w:tcW w:w="40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9"/>
              </w:rPr>
              <w:t>Purchased/(Sold)</w:t>
            </w:r>
          </w:p>
        </w:tc>
        <w:tc>
          <w:tcPr>
            <w:tcW w:w="190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8"/>
                <w:szCs w:val="18"/>
                <w:color w:val="auto"/>
                <w:w w:val="99"/>
              </w:rPr>
              <w:t xml:space="preserve">Share </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1</w:t>
            </w:r>
          </w:p>
        </w:tc>
        <w:tc>
          <w:tcPr>
            <w:tcW w:w="2840" w:type="dxa"/>
            <w:vAlign w:val="bottom"/>
            <w:vMerge w:val="restart"/>
          </w:tcPr>
          <w:p>
            <w:pPr>
              <w:spacing w:after="0"/>
              <w:rPr>
                <w:sz w:val="14"/>
                <w:szCs w:val="14"/>
                <w:color w:val="auto"/>
              </w:rPr>
            </w:pPr>
          </w:p>
        </w:tc>
        <w:tc>
          <w:tcPr>
            <w:tcW w:w="2420" w:type="dxa"/>
            <w:vAlign w:val="bottom"/>
            <w:gridSpan w:val="2"/>
            <w:vMerge w:val="restart"/>
          </w:tcPr>
          <w:p>
            <w:pPr>
              <w:jc w:val="center"/>
              <w:ind w:right="1320"/>
              <w:spacing w:after="0"/>
              <w:rPr>
                <w:sz w:val="20"/>
                <w:szCs w:val="20"/>
                <w:color w:val="auto"/>
              </w:rPr>
            </w:pPr>
            <w:r>
              <w:rPr>
                <w:rFonts w:ascii="Times New Roman" w:cs="Times New Roman" w:eastAsia="Times New Roman" w:hAnsi="Times New Roman"/>
                <w:sz w:val="18"/>
                <w:szCs w:val="18"/>
                <w:color w:val="auto"/>
                <w:w w:val="99"/>
              </w:rPr>
              <w:t>Purchase / Sale</w:t>
            </w:r>
          </w:p>
        </w:tc>
        <w:tc>
          <w:tcPr>
            <w:tcW w:w="0" w:type="dxa"/>
            <w:vAlign w:val="bottom"/>
          </w:tcPr>
          <w:p>
            <w:pPr>
              <w:spacing w:after="0"/>
              <w:rPr>
                <w:sz w:val="1"/>
                <w:szCs w:val="1"/>
                <w:color w:val="auto"/>
              </w:rPr>
            </w:pPr>
          </w:p>
        </w:tc>
      </w:tr>
      <w:tr>
        <w:trPr>
          <w:trHeight w:val="48"/>
        </w:trPr>
        <w:tc>
          <w:tcPr>
            <w:tcW w:w="4020" w:type="dxa"/>
            <w:vAlign w:val="bottom"/>
            <w:gridSpan w:val="3"/>
            <w:vMerge w:val="continue"/>
          </w:tcPr>
          <w:p>
            <w:pPr>
              <w:spacing w:after="0"/>
              <w:rPr>
                <w:sz w:val="4"/>
                <w:szCs w:val="4"/>
                <w:color w:val="auto"/>
              </w:rPr>
            </w:pPr>
          </w:p>
        </w:tc>
        <w:tc>
          <w:tcPr>
            <w:tcW w:w="19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840" w:type="dxa"/>
            <w:vAlign w:val="bottom"/>
            <w:vMerge w:val="continue"/>
          </w:tcPr>
          <w:p>
            <w:pPr>
              <w:spacing w:after="0"/>
              <w:rPr>
                <w:sz w:val="4"/>
                <w:szCs w:val="4"/>
                <w:color w:val="auto"/>
              </w:rPr>
            </w:pPr>
          </w:p>
        </w:tc>
        <w:tc>
          <w:tcPr>
            <w:tcW w:w="24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rPr>
              <w:t>100,000</w:t>
            </w:r>
          </w:p>
        </w:tc>
        <w:tc>
          <w:tcPr>
            <w:tcW w:w="15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4/20/2026</w:t>
            </w: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rPr>
              <w:t>100,000</w:t>
            </w:r>
          </w:p>
        </w:tc>
        <w:tc>
          <w:tcPr>
            <w:tcW w:w="1520" w:type="dxa"/>
            <w:vAlign w:val="bottom"/>
          </w:tcPr>
          <w:p>
            <w:pPr>
              <w:spacing w:after="0"/>
              <w:rPr>
                <w:sz w:val="18"/>
                <w:szCs w:val="18"/>
                <w:color w:val="auto"/>
              </w:rPr>
            </w:pPr>
          </w:p>
        </w:tc>
        <w:tc>
          <w:tcPr>
            <w:tcW w:w="190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4/21/2026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rPr>
              <w:t>475,000</w:t>
            </w:r>
          </w:p>
        </w:tc>
        <w:tc>
          <w:tcPr>
            <w:tcW w:w="15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5/12/2026</w:t>
            </w: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rPr>
              <w:t>100,000</w:t>
            </w:r>
          </w:p>
        </w:tc>
        <w:tc>
          <w:tcPr>
            <w:tcW w:w="1520" w:type="dxa"/>
            <w:vAlign w:val="bottom"/>
          </w:tcPr>
          <w:p>
            <w:pPr>
              <w:spacing w:after="0"/>
              <w:rPr>
                <w:sz w:val="20"/>
                <w:szCs w:val="20"/>
                <w:color w:val="auto"/>
              </w:rPr>
            </w:pPr>
          </w:p>
        </w:tc>
        <w:tc>
          <w:tcPr>
            <w:tcW w:w="190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5/19/2026</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200" w:firstLine="8"/>
        <w:spacing w:after="0" w:line="210"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prices reported in this column are weighted average prices. The Reporting Person undertakes to provide the Issuer and any security holder of the Issuer, or the staff of the Securities and Exchange Commission, upon request, full information regarding the number of shares purchased (or sold) at each separate price such shares were purchased.</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2026-05-27T09:42:39Z</dcterms:created>
  <dcterms:modified xsi:type="dcterms:W3CDTF">2026-05-27T09:42:39Z</dcterms:modified>
</cp:coreProperties>
</file>