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3564"/>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NEURONETICS, INC.</w:t>
      </w:r>
    </w:p>
    <w:p>
      <w:pPr>
        <w:spacing w:after="0" w:line="58" w:lineRule="exact"/>
        <w:rPr>
          <w:sz w:val="24"/>
          <w:szCs w:val="24"/>
          <w:color w:val="auto"/>
        </w:rPr>
      </w:pPr>
    </w:p>
    <w:p>
      <w:pPr>
        <w:ind w:left="352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4" w:type="dxa"/>
        <w:tblCellMar>
          <w:top w:w="0" w:type="dxa"/>
          <w:left w:w="0" w:type="dxa"/>
          <w:bottom w:w="0" w:type="dxa"/>
          <w:right w:w="0" w:type="dxa"/>
        </w:tblCellMar>
      </w:tblPr>
      <w:tr>
        <w:trPr>
          <w:trHeight w:val="210"/>
        </w:trPr>
        <w:tc>
          <w:tcPr>
            <w:tcW w:w="4380" w:type="dxa"/>
            <w:vAlign w:val="bottom"/>
          </w:tcPr>
          <w:p>
            <w:pPr>
              <w:jc w:val="center"/>
              <w:ind w:right="1899"/>
              <w:spacing w:after="0"/>
              <w:rPr>
                <w:sz w:val="20"/>
                <w:szCs w:val="20"/>
                <w:color w:val="auto"/>
              </w:rPr>
            </w:pPr>
            <w:r>
              <w:rPr>
                <w:rFonts w:ascii="Times New Roman" w:cs="Times New Roman" w:eastAsia="Times New Roman" w:hAnsi="Times New Roman"/>
                <w:sz w:val="18"/>
                <w:szCs w:val="18"/>
                <w:color w:val="auto"/>
                <w:w w:val="98"/>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001-38546</w:t>
            </w:r>
          </w:p>
        </w:tc>
      </w:tr>
      <w:tr>
        <w:trPr>
          <w:trHeight w:val="149"/>
        </w:trPr>
        <w:tc>
          <w:tcPr>
            <w:tcW w:w="438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80" w:type="dxa"/>
            <w:vAlign w:val="bottom"/>
          </w:tcPr>
          <w:p>
            <w:pPr>
              <w:jc w:val="center"/>
              <w:ind w:left="1901"/>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r>
      <w:tr>
        <w:trPr>
          <w:trHeight w:val="190"/>
        </w:trPr>
        <w:tc>
          <w:tcPr>
            <w:tcW w:w="438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8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file number)</w:t>
            </w:r>
          </w:p>
        </w:tc>
      </w:tr>
      <w:tr>
        <w:trPr>
          <w:trHeight w:val="410"/>
        </w:trPr>
        <w:tc>
          <w:tcPr>
            <w:tcW w:w="4380" w:type="dxa"/>
            <w:vAlign w:val="bottom"/>
          </w:tcPr>
          <w:p>
            <w:pPr>
              <w:jc w:val="center"/>
              <w:ind w:right="1899"/>
              <w:spacing w:after="0"/>
              <w:rPr>
                <w:sz w:val="20"/>
                <w:szCs w:val="20"/>
                <w:color w:val="auto"/>
              </w:rPr>
            </w:pPr>
            <w:r>
              <w:rPr>
                <w:rFonts w:ascii="Times New Roman" w:cs="Times New Roman" w:eastAsia="Times New Roman" w:hAnsi="Times New Roman"/>
                <w:sz w:val="18"/>
                <w:szCs w:val="18"/>
                <w:color w:val="auto"/>
                <w:w w:val="99"/>
              </w:rPr>
              <w:t>3222 Phoenixville Pike</w:t>
            </w:r>
          </w:p>
        </w:tc>
        <w:tc>
          <w:tcPr>
            <w:tcW w:w="2780" w:type="dxa"/>
            <w:vAlign w:val="bottom"/>
          </w:tcPr>
          <w:p>
            <w:pPr>
              <w:spacing w:after="0"/>
              <w:rPr>
                <w:sz w:val="24"/>
                <w:szCs w:val="24"/>
                <w:color w:val="auto"/>
              </w:rPr>
            </w:pPr>
          </w:p>
        </w:tc>
      </w:tr>
      <w:tr>
        <w:trPr>
          <w:trHeight w:val="223"/>
        </w:trPr>
        <w:tc>
          <w:tcPr>
            <w:tcW w:w="4380" w:type="dxa"/>
            <w:vAlign w:val="bottom"/>
          </w:tcPr>
          <w:p>
            <w:pPr>
              <w:jc w:val="center"/>
              <w:ind w:right="1899"/>
              <w:spacing w:after="0"/>
              <w:rPr>
                <w:sz w:val="20"/>
                <w:szCs w:val="20"/>
                <w:color w:val="auto"/>
              </w:rPr>
            </w:pPr>
            <w:r>
              <w:rPr>
                <w:rFonts w:ascii="Times New Roman" w:cs="Times New Roman" w:eastAsia="Times New Roman" w:hAnsi="Times New Roman"/>
                <w:sz w:val="18"/>
                <w:szCs w:val="18"/>
                <w:color w:val="auto"/>
                <w:w w:val="98"/>
              </w:rPr>
              <w:t>Malvern, PA</w:t>
            </w:r>
          </w:p>
        </w:tc>
        <w:tc>
          <w:tcPr>
            <w:tcW w:w="27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19355</w:t>
            </w:r>
          </w:p>
        </w:tc>
      </w:tr>
      <w:tr>
        <w:trPr>
          <w:trHeight w:val="190"/>
        </w:trPr>
        <w:tc>
          <w:tcPr>
            <w:tcW w:w="438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8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W. Andrew Macan</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(877) 600-7555</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264"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left="4"/>
        <w:spacing w:after="0" w:line="296" w:lineRule="auto"/>
        <w:rPr>
          <w:sz w:val="20"/>
          <w:szCs w:val="20"/>
          <w:color w:val="auto"/>
        </w:rPr>
      </w:pPr>
      <w:r>
        <w:rPr>
          <w:rFonts w:ascii="Times New Roman" w:cs="Times New Roman" w:eastAsia="Times New Roman" w:hAnsi="Times New Roman"/>
          <w:sz w:val="18"/>
          <w:szCs w:val="18"/>
          <w:color w:val="auto"/>
        </w:rPr>
        <w:t>In accordance with the disclosure requirements promulgated by the U.S. Securities and Exchange Commission, Neuronetics, Inc. (the “Company”) has undertaken efforts to determine its conflict minerals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reporting requirements for the period from January 1 to December 31, 2025.</w:t>
      </w:r>
    </w:p>
    <w:p>
      <w:pPr>
        <w:spacing w:after="0" w:line="24"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Company has filed this Specialized Disclosure Report and the associated Conflict Minerals Report, which appears as Exhibit 1.01 hereto and is publicly available through the Company’s website at ir.neuronetics.com/corporate-governance/highlights.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has filed as an Exhibit to this Form SD its Conflict Minerals Report for calendar year ended December 31, 2025.</w:t>
      </w:r>
    </w:p>
    <w:p>
      <w:pPr>
        <w:spacing w:after="0" w:line="54"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term “conflict mineral” is defined in Section 1502(e)(4) of the Dodd-Frank Wall Street Reform and Consumer Protection Act as</w:t>
      </w:r>
    </w:p>
    <w:p>
      <w:pPr>
        <w:spacing w:after="0" w:line="1" w:lineRule="exact"/>
        <w:rPr>
          <w:rFonts w:ascii="Times New Roman" w:cs="Times New Roman" w:eastAsia="Times New Roman" w:hAnsi="Times New Roman"/>
          <w:sz w:val="27"/>
          <w:szCs w:val="27"/>
          <w:color w:val="auto"/>
          <w:vertAlign w:val="superscript"/>
        </w:rPr>
      </w:pPr>
    </w:p>
    <w:p>
      <w:pPr>
        <w:ind w:left="424" w:right="360"/>
        <w:spacing w:after="0" w:line="254"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columbite-tantalite, also known as coltan (the metal ore from which tantalum is extracted); cassiterite (the metal ore from which tin is extracted); gold; wolframite (the metal ore from which tungsten is extracted); or their derivatives; or (B) any other mineral or its derivatives determined by the Secretary of State to be financing conflict in the Democratic Republic of the Congo or an adjoining country.</w:t>
      </w:r>
    </w:p>
    <w:p>
      <w:pPr>
        <w:sectPr>
          <w:pgSz w:w="11900" w:h="16838" w:orient="portrait"/>
          <w:cols w:equalWidth="0" w:num="1">
            <w:col w:w="10864"/>
          </w:cols>
          <w:pgMar w:left="436" w:top="266"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Exhibit 1.01 – </w:t>
      </w:r>
      <w:r>
        <w:rPr>
          <w:rFonts w:ascii="Times New Roman" w:cs="Times New Roman" w:eastAsia="Times New Roman" w:hAnsi="Times New Roman"/>
          <w:sz w:val="17"/>
          <w:szCs w:val="17"/>
          <w:u w:val="single" w:color="auto"/>
          <w:color w:val="0000EE"/>
        </w:rPr>
        <w:t>Neuronetics, Inc.’s Conflict Minerals Report for the reporting period from January 1 to December 31, 2025.</w:t>
      </w:r>
    </w:p>
    <w:p>
      <w:pPr>
        <w:spacing w:after="0" w:line="2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Neuronetics,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 Andrew Macan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 Andrew Macan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Legal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ectPr>
          <w:pgSz w:w="11900" w:h="16838" w:orient="portrait"/>
          <w:cols w:equalWidth="0" w:num="1">
            <w:col w:w="10640"/>
          </w:cols>
          <w:pgMar w:left="440" w:top="266" w:right="8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CONFLICT MINERALS REPORT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NEURONETICS,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THE REPORTING PERIOD FROM</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JANUARY 1 TO DECEMBER 31, 2025</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121" w:lineRule="exact"/>
        <w:rPr>
          <w:sz w:val="20"/>
          <w:szCs w:val="20"/>
          <w:color w:val="auto"/>
        </w:rPr>
      </w:pPr>
    </w:p>
    <w:p>
      <w:pPr>
        <w:ind w:left="4" w:right="160"/>
        <w:spacing w:after="0" w:line="230" w:lineRule="auto"/>
        <w:rPr>
          <w:sz w:val="20"/>
          <w:szCs w:val="20"/>
          <w:color w:val="auto"/>
        </w:rPr>
      </w:pPr>
      <w:r>
        <w:rPr>
          <w:rFonts w:ascii="Times New Roman" w:cs="Times New Roman" w:eastAsia="Times New Roman" w:hAnsi="Times New Roman"/>
          <w:sz w:val="18"/>
          <w:szCs w:val="18"/>
          <w:color w:val="auto"/>
        </w:rPr>
        <w:t>This is the Conflict Minerals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Report of Neuronetics, Inc. (“we,” “our,” “Neuronetics,” or the “Company”) prepared for calendar year 2025 in accordance with Rule 13p-1 (“Rule 13p-1”) under the Securities Exchange Act of 1934 (the “Act”). Numerous terms in this Report are defined in Rule 13p-1 of the Act and SEC Release No. 34-67716 (August 22, 2012) under the Act (the “Adopting Release”). The reader is referred to these sources for the definitions of defined terms contained herein.</w:t>
      </w:r>
    </w:p>
    <w:p>
      <w:pPr>
        <w:spacing w:after="0" w:line="198" w:lineRule="exact"/>
        <w:rPr>
          <w:sz w:val="20"/>
          <w:szCs w:val="20"/>
          <w:color w:val="auto"/>
        </w:rPr>
      </w:pPr>
    </w:p>
    <w:p>
      <w:pPr>
        <w:ind w:left="4" w:right="100"/>
        <w:spacing w:after="0" w:line="230" w:lineRule="auto"/>
        <w:rPr>
          <w:sz w:val="20"/>
          <w:szCs w:val="20"/>
          <w:color w:val="auto"/>
        </w:rPr>
      </w:pPr>
      <w:r>
        <w:rPr>
          <w:rFonts w:ascii="Times New Roman" w:cs="Times New Roman" w:eastAsia="Times New Roman" w:hAnsi="Times New Roman"/>
          <w:sz w:val="18"/>
          <w:szCs w:val="18"/>
          <w:color w:val="auto"/>
        </w:rPr>
        <w:t xml:space="preserve">In accordance with Rule 13p-1, we undertook efforts to determine the presence and source of the conflict minerals within our products. The Company designed its efforts in conformity with the internationally recognized due diligence framework set forth in the </w:t>
      </w:r>
      <w:r>
        <w:rPr>
          <w:rFonts w:ascii="Times New Roman" w:cs="Times New Roman" w:eastAsia="Times New Roman" w:hAnsi="Times New Roman"/>
          <w:sz w:val="18"/>
          <w:szCs w:val="18"/>
          <w:i w:val="1"/>
          <w:iCs w:val="1"/>
          <w:color w:val="auto"/>
        </w:rPr>
        <w:t>Organisation for Economic Co-operation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Development (“OECD”) Due Diligence Guidance for Responsible Supply Chains of Minerals from Conflict-Affected and High-Risk Areas</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(“OECD Due Diligence Guidance”) and related Supplements.</w:t>
      </w:r>
    </w:p>
    <w:p>
      <w:pPr>
        <w:spacing w:after="0" w:line="198" w:lineRule="exact"/>
        <w:rPr>
          <w:sz w:val="20"/>
          <w:szCs w:val="20"/>
          <w:color w:val="auto"/>
        </w:rPr>
      </w:pPr>
    </w:p>
    <w:p>
      <w:pPr>
        <w:jc w:val="both"/>
        <w:ind w:left="4" w:right="220"/>
        <w:spacing w:after="0" w:line="261" w:lineRule="auto"/>
        <w:rPr>
          <w:sz w:val="20"/>
          <w:szCs w:val="20"/>
          <w:color w:val="auto"/>
        </w:rPr>
      </w:pPr>
      <w:r>
        <w:rPr>
          <w:rFonts w:ascii="Times New Roman" w:cs="Times New Roman" w:eastAsia="Times New Roman" w:hAnsi="Times New Roman"/>
          <w:sz w:val="18"/>
          <w:szCs w:val="18"/>
          <w:color w:val="auto"/>
        </w:rPr>
        <w:t>The statements below are based on the activities performed to date in good faith by the Company and are based on the infrastructure and information available at the time of this filing. Factors that could affect the accuracy of these statements include, but are not limited to, incomplete supplier data or available smelter data, errors or omissions by suppliers or smelters, evolving identification of smelters, incomplete information from industry or other third-party sources, continuing guidance regarding the SEC final rules, and other issues.</w:t>
      </w:r>
    </w:p>
    <w:p>
      <w:pPr>
        <w:spacing w:after="0" w:line="284" w:lineRule="exact"/>
        <w:rPr>
          <w:sz w:val="20"/>
          <w:szCs w:val="20"/>
          <w:color w:val="auto"/>
        </w:rPr>
      </w:pPr>
    </w:p>
    <w:p>
      <w:pPr>
        <w:ind w:left="4" w:right="9720" w:hanging="4"/>
        <w:spacing w:after="0" w:line="400" w:lineRule="auto"/>
        <w:tabs>
          <w:tab w:leader="none" w:pos="23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Overview </w:t>
      </w:r>
      <w:r>
        <w:rPr>
          <w:rFonts w:ascii="Times New Roman" w:cs="Times New Roman" w:eastAsia="Times New Roman" w:hAnsi="Times New Roman"/>
          <w:sz w:val="17"/>
          <w:szCs w:val="17"/>
          <w:b w:val="1"/>
          <w:bCs w:val="1"/>
          <w:u w:val="single" w:color="auto"/>
          <w:color w:val="auto"/>
        </w:rPr>
        <w:t>Company Profile</w:t>
      </w:r>
    </w:p>
    <w:p>
      <w:pPr>
        <w:ind w:left="4" w:right="20"/>
        <w:spacing w:after="0" w:line="239" w:lineRule="auto"/>
        <w:rPr>
          <w:sz w:val="20"/>
          <w:szCs w:val="20"/>
          <w:color w:val="auto"/>
        </w:rPr>
      </w:pPr>
      <w:r>
        <w:rPr>
          <w:rFonts w:ascii="Times New Roman" w:cs="Times New Roman" w:eastAsia="Times New Roman" w:hAnsi="Times New Roman"/>
          <w:sz w:val="18"/>
          <w:szCs w:val="18"/>
          <w:color w:val="auto"/>
        </w:rPr>
        <w:t>We are a vertically integrated, commercial stage, medical technology and healthcare company with a strategic vision of transforming the lives of patients whenever and wherever they need help, with the leading neurohealth therapies in the world. We believe that mental health is as important as physical health. As a global leader in neuroscience, Neuronetics is delivering more treatment options to patients and physicians by offering exceptional in-office treatments that produce extraordinary results. NeuroStar Advanced Therapy (“NeuroStar Therapy”) is a non-drug, noninvasive treatment that can improve the quality of life for people suffering from neurohealth conditions when traditional medication has not helped. In addition to selling the NeuroStar Advanced Therapy System (the “NeuroStar System”) and associated treatment sessions to customers, Neuronetics operates Greenbrook TMS Inc. (“Greenbrook”) treatment centers across the United States, offering NeuroStar Therapy, Spravato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other treatment modalities for the treatment of major depressive disorder (“MDD”) and other mental health disorders.</w:t>
      </w:r>
    </w:p>
    <w:p>
      <w:pPr>
        <w:spacing w:after="0" w:line="203"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NeuroStar Therapy is indicated for the treatment of depressive episodes and for decreasing anxiety symptoms for those who may exhibit comorbid anxiety symptoms in adult patients suffering from MDD and who failed to achieve satisfactory improvement from previous antidepressant medication treatment in the current episode. It is also cleared by the U.S. Food and Drug Administration as an adjunct for adults with obsessive-compulsive disorder and for adolescent patients aged 15 to 21 with MDD. Neuronetics is committed to transforming lives by offering an exceptional treatment that produces extraordinary results.</w:t>
      </w:r>
    </w:p>
    <w:p>
      <w:pPr>
        <w:spacing w:after="0" w:line="89"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“conflict mineral” is defined in Section 1502(e)(4) of the Dodd-Frank Wall Street Reform and Consumer Protection Act as</w:t>
      </w:r>
    </w:p>
    <w:p>
      <w:pPr>
        <w:spacing w:after="0" w:line="27" w:lineRule="exact"/>
        <w:rPr>
          <w:rFonts w:ascii="Times New Roman" w:cs="Times New Roman" w:eastAsia="Times New Roman" w:hAnsi="Times New Roman"/>
          <w:sz w:val="18"/>
          <w:szCs w:val="18"/>
          <w:color w:val="auto"/>
        </w:rPr>
      </w:pPr>
    </w:p>
    <w:p>
      <w:pPr>
        <w:ind w:left="424" w:right="5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columbite-tantalite, also known as coltan (the metal ore from which tantalum is extracted); cassiterite (the metal ore from which tin is extracted); gold; wolframite (the metal ore from which tungsten is extracted); or their derivatives; or (B) any other mineral or its derivatives determined by the Secretary of State to be financing conflict in the Democratic Republic of the Congo (“DRC”) or an adjoining country.</w:t>
      </w:r>
    </w:p>
    <w:p>
      <w:pPr>
        <w:spacing w:after="0" w:line="91"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OECD (2016), OECD Due Diligence Guidance for Responsible Supply Chains of Minerals from Conflict-Affected and High-Risk Areas: Third Edition, OECD Publishing, Paris. </w:t>
      </w:r>
      <w:r>
        <w:rPr>
          <w:rFonts w:ascii="Times New Roman" w:cs="Times New Roman" w:eastAsia="Times New Roman" w:hAnsi="Times New Roman"/>
          <w:sz w:val="18"/>
          <w:szCs w:val="18"/>
          <w:u w:val="single" w:color="auto"/>
          <w:color w:val="auto"/>
        </w:rPr>
        <w:t>http://dx.doi.org/10.1787/9789264252479-en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 w:name="page6"/>
    <w:bookmarkEnd w:id="5"/>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subject to this rule as we have determined that, during 2025, conflict minerals were likely necessary to the functionality or production of products we manufactured or contracted to manufacture. The Company, as a purchaser of component parts, is many steps removed from the mining of conflict minerals. We do not purchase raw ore or unrefined conflict minerals and we conduct no purchasing activities directly in the DRC or adjoining countries.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Minerals Policy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developed a policy statement to support the goals expressed by Congress in enacting Section 1502 of the Dodd-Frank Wall Street Reform and Consumer Protection Act. The policy highlights the Company’s commitment to complying with the reporting and due diligence obligations required by the SEC rule and the Company’s expectations from its suppliers. In addition, the policy includes language encouraging suppliers to source responsibly. The policy resides on our corporate website at http://ir.neuronetics.com/corporate-governance/highlights.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conducted a good faith reasonable country of origin inquiry (“RCOI”) to determine whether the necessary conflict minerals originated in the DRC or an adjoining country or came from recycled or scrap sources.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RCOI process included reviewing the products manufactured or contracted to be manufactured during the Reporting Period to identify products that should be deemed in-scope as described by the Adopting Release and conducting an inquiry of our direct suppliers of the in-scope products using the Responsible Minerals Initiative’s (“RMI”) Conflict Minerals Reporting Template (“CMRT”). Based on the results of our RCOI which indicated sourcing from the DRC or an adjoining country, we exercised due diligence on the source and chain of custody of the conflict minerals in accordance with the OECD Due Diligence Guidance. Our due diligence efforts are discussed further in this Conflict Minerals Report.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Program Design</w:t>
      </w:r>
    </w:p>
    <w:p>
      <w:pPr>
        <w:spacing w:after="0" w:line="121"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The Company designed its conflict minerals program to conform, in all material respects, with the five-step framework of the OECD Due Diligence Guidance, the Supplement on Tin, Tantalum, and Tungsten, and the Supplement on Gold, specifically as they relate to our position in the minerals supply chain as a “downstream”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III. Due Diligence Measures Performed by The Company</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The following describes the measures taken or being taken to reasonably determine the country of origin and to exercise due diligence in the mineral supply chain in conformance with the OECD Due Diligence Guidance.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31" w:lineRule="exact"/>
        <w:rPr>
          <w:sz w:val="20"/>
          <w:szCs w:val="20"/>
          <w:color w:val="auto"/>
        </w:rPr>
      </w:pPr>
    </w:p>
    <w:p>
      <w:pPr>
        <w:jc w:val="both"/>
        <w:ind w:left="424" w:right="62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team – The Company established a conflict minerals team that includes individuals from the relevant business units and departments. The team was structured to ensure that critical information, including the Company’s conflict minerals policy, reach relevant employees and suppliers.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policy – The Company adopted and published a policy establishing expectations for our suppliers.</w:t>
      </w:r>
    </w:p>
    <w:p>
      <w:pPr>
        <w:spacing w:after="0" w:line="130"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engagement – The Company communicated its conflict minerals policy and provided educational materials to our in-scope suppliers. Suppliers were informed when the request for information was initiated on the conflict minerals disclosure requirements as well as recommendations for developing, implementing, and documenting a conflict minerals compliance program.</w:t>
      </w:r>
    </w:p>
    <w:p>
      <w:pPr>
        <w:spacing w:after="0" w:line="8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management – The Company will maintain records relating to our conflict minerals program in accordance with the recommended record retention guidelines of five years.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Step 2: Identify and assess risks in the supply chain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performed the following steps as part of our risk assessment process:</w:t>
      </w:r>
    </w:p>
    <w:p>
      <w:pPr>
        <w:spacing w:after="0" w:line="131" w:lineRule="exact"/>
        <w:rPr>
          <w:sz w:val="20"/>
          <w:szCs w:val="20"/>
          <w:color w:val="auto"/>
        </w:rPr>
      </w:pPr>
    </w:p>
    <w:p>
      <w:pPr>
        <w:ind w:left="424" w:right="46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products in scope – We conducted a detailed review of the products contracted to be manufactured during the Reporting Period to identify products that should be deemed in-scope as described by the Adopting Release.</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RCOI – The Company utilized the industry-developed CMRT to query our suppliers for conflict minerals information. We requested this information from the Tier 1 suppliers who provide materials and components for the products deemed in-scope by our conflict minerals team. We evaluated the responses from the templates submitted by our suppliers to determine our reporting obligation based on this RCOI.</w:t>
      </w:r>
    </w:p>
    <w:p>
      <w:pPr>
        <w:spacing w:after="0" w:line="81"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additional follow-up – The Company contacted our contract manufacturers, which contacted their direct suppliers and followed up with due diligence. Our contract manufacturers continue to clarify and validate the accuracy of information provided by their suppliers.</w:t>
      </w:r>
    </w:p>
    <w:p>
      <w:pPr>
        <w:spacing w:after="0" w:line="67"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smelters or refiners (“SORs”) – The Company compiled a list of SORs in our supply chain using our suppliers’ responses in their company CMRT. The Company reconciled this list to the list of smelter facilities designated by the RMI’s Responsible Minerals Assurance Process (“RMAP”). The RMAP completes independent, third-party audits of smelters and refiners to determine which can be validated as having systems in place that ensure the minerals are responsible sourced according to the OECD Due Diligence Guidance. The Company works with a third-party expert in the area of Conflict Minerals to reconcile suppliers’ smelters lists to the list of RMI SORs. We have provided the list of SORs in our supply chain in this report within section IV – Product Description; Processing Facilities. We also have provided the country-of-origin details for the smelters in use by our suppliers in Appendix 1.</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performed the following steps as part of our risk management plan:</w:t>
      </w:r>
    </w:p>
    <w:p>
      <w:pPr>
        <w:spacing w:after="0" w:line="131" w:lineRule="exact"/>
        <w:rPr>
          <w:sz w:val="20"/>
          <w:szCs w:val="20"/>
          <w:color w:val="auto"/>
        </w:rPr>
      </w:pPr>
    </w:p>
    <w:p>
      <w:pPr>
        <w:ind w:left="424" w:right="16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results to senior management – The Conflict Minerals team reports the results of our RCOI to senior management which included the team’s plan to respond to risks identified in the due diligence processes.</w:t>
      </w:r>
    </w:p>
    <w:p>
      <w:pPr>
        <w:spacing w:after="0" w:line="67"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SORs – As part of the risk mitigation process, the Company reconciled the list of SORs collected from suppliers to the list of smelter facilities validated by the RMI.</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is using information provided by independent third-party audit programs, including the RMI, London Bullion Market Association (LBMA), and Responsible Jewelry Council (RJC), to confirm the existence and verify the OECD-conformance status of SORs identified during our due diligence.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117" w:lineRule="exact"/>
        <w:rPr>
          <w:sz w:val="20"/>
          <w:szCs w:val="20"/>
          <w:color w:val="auto"/>
        </w:rPr>
      </w:pPr>
    </w:p>
    <w:p>
      <w:pPr>
        <w:ind w:left="4" w:right="780"/>
        <w:spacing w:after="0" w:line="282" w:lineRule="auto"/>
        <w:rPr>
          <w:sz w:val="20"/>
          <w:szCs w:val="20"/>
          <w:color w:val="auto"/>
        </w:rPr>
      </w:pPr>
      <w:r>
        <w:rPr>
          <w:rFonts w:ascii="Times New Roman" w:cs="Times New Roman" w:eastAsia="Times New Roman" w:hAnsi="Times New Roman"/>
          <w:sz w:val="18"/>
          <w:szCs w:val="18"/>
          <w:color w:val="auto"/>
        </w:rPr>
        <w:t>Accordingly, this Conflict Minerals Report has been filed with the SEC and is available on our website at http://ir.neuronetics.com/corporate-governance/highlights.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Product Description; Processing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Our business is managed and reported on a product basis as follows: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current products include our NeuroStar Advanced Therapy System used to treat psychiatric disorders. All of our revenues are currently derived from sales of our NeuroStar Advanced Therapy System, accessories, components and related services in the United States and select international markets. Each of our current products is, and our future products will be, designed to address significant unmet clinical needs in the treatment of mental health.</w:t>
      </w:r>
    </w:p>
    <w:p>
      <w:pPr>
        <w:spacing w:after="0" w:line="17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Processing Facilities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Based on our due diligence process and the information received from our suppliers, the following facilities were identified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suppliers as the smelters and refiners of the tin, tantalum, tungsten and/or gold present in and necessary to the functionality of products manufactured by the Company in the calendar year ended December 31, 2025. The information from our suppliers is still evolving and may contain company-level declarations. As such, this smelter list is presented in good faith as the best information we have to date. This list may contain smelters that are not in our supply chain and/or there may be other smelters not yet identified in our due diligence process. We will continue to update the list as our information and the relevant third-party data from RMI, LBMA, and RJC improves.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500" w:type="dxa"/>
            <w:vAlign w:val="bottom"/>
          </w:tcPr>
          <w:p>
            <w:pPr>
              <w:spacing w:after="0"/>
              <w:rPr>
                <w:sz w:val="13"/>
                <w:szCs w:val="13"/>
                <w:color w:val="auto"/>
              </w:rPr>
            </w:pPr>
          </w:p>
        </w:tc>
        <w:tc>
          <w:tcPr>
            <w:tcW w:w="468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Standard Smelter Names</w:t>
            </w:r>
          </w:p>
        </w:tc>
        <w:tc>
          <w:tcPr>
            <w:tcW w:w="43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Smelter Facility Location:</w:t>
            </w:r>
          </w:p>
        </w:tc>
        <w:tc>
          <w:tcPr>
            <w:tcW w:w="100" w:type="dxa"/>
            <w:vAlign w:val="bottom"/>
          </w:tcPr>
          <w:p>
            <w:pPr>
              <w:spacing w:after="0"/>
              <w:rPr>
                <w:sz w:val="13"/>
                <w:szCs w:val="13"/>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Smelter ID</w:t>
            </w:r>
          </w:p>
        </w:tc>
        <w:tc>
          <w:tcPr>
            <w:tcW w:w="0" w:type="dxa"/>
            <w:vAlign w:val="bottom"/>
          </w:tcPr>
          <w:p>
            <w:pPr>
              <w:spacing w:after="0"/>
              <w:rPr>
                <w:sz w:val="1"/>
                <w:szCs w:val="1"/>
                <w:color w:val="auto"/>
              </w:rPr>
            </w:pPr>
          </w:p>
        </w:tc>
      </w:tr>
      <w:tr>
        <w:trPr>
          <w:trHeight w:val="193"/>
        </w:trPr>
        <w:tc>
          <w:tcPr>
            <w:tcW w:w="360" w:type="dxa"/>
            <w:vAlign w:val="bottom"/>
            <w:tcBorders>
              <w:bottom w:val="single" w:sz="8" w:color="auto"/>
            </w:tcBorders>
            <w:vMerge w:val="continue"/>
          </w:tcPr>
          <w:p>
            <w:pPr>
              <w:spacing w:after="0"/>
              <w:rPr>
                <w:sz w:val="16"/>
                <w:szCs w:val="16"/>
                <w:color w:val="auto"/>
              </w:rPr>
            </w:pPr>
          </w:p>
        </w:tc>
        <w:tc>
          <w:tcPr>
            <w:tcW w:w="50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43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6"/>
                <w:szCs w:val="16"/>
                <w:color w:val="auto"/>
              </w:rPr>
            </w:pPr>
          </w:p>
        </w:tc>
        <w:tc>
          <w:tcPr>
            <w:tcW w:w="44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8853 S.p.A.</w:t>
            </w:r>
          </w:p>
        </w:tc>
        <w:tc>
          <w:tcPr>
            <w:tcW w:w="220" w:type="dxa"/>
            <w:vAlign w:val="bottom"/>
          </w:tcPr>
          <w:p>
            <w:pPr>
              <w:spacing w:after="0"/>
              <w:rPr>
                <w:sz w:val="16"/>
                <w:szCs w:val="16"/>
                <w:color w:val="auto"/>
              </w:rPr>
            </w:pPr>
          </w:p>
        </w:tc>
        <w:tc>
          <w:tcPr>
            <w:tcW w:w="4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ITALY</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ind w:right="99"/>
              <w:spacing w:after="0" w:line="185" w:lineRule="exact"/>
              <w:rPr>
                <w:sz w:val="20"/>
                <w:szCs w:val="20"/>
                <w:color w:val="auto"/>
              </w:rPr>
            </w:pPr>
            <w:r>
              <w:rPr>
                <w:rFonts w:ascii="Times New Roman" w:cs="Times New Roman" w:eastAsia="Times New Roman" w:hAnsi="Times New Roman"/>
                <w:sz w:val="18"/>
                <w:szCs w:val="18"/>
                <w:color w:val="auto"/>
                <w:w w:val="96"/>
              </w:rPr>
              <w:t>CID002763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CID002920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CID002708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UGANDA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CID003185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Agosi AG</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CID000035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CID002030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Dowa</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CID000401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CID002560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CID002760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CID003500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UZBEKISTAN</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CID000082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CID000058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CID001947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CID000077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CID000924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CID000920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CID000090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CID000103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CID004697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CID002850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CID003461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Aurubis AG</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CID000113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Bangalore Refinery</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CID002863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CID000128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Boliden Ronnskar</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SWEDEN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CID000157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 Hafner GmbH + Co. KG</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CID000176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Caridad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CID000180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CID000185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Cendres + Metaux S.A.</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CID000189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CGR Metalloys Pvt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CID003382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CID000197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Chimet S.p.A.</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CID000233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CID002224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CID001916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Chugai Mining</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CID000264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Coimpa Industrial LTDA</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CID004010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CID000343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CID002867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CID003348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DSC (Do Sung Corporation)</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CID000359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Dongwu Gold Group</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CID003663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CID000425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CID003424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CID003425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CID000927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Elite Industech Co.,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CID004755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CID003487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CID003488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CID003489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CID003490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Emirates Gold DMCC</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CID002561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CID001204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ZIMBABWE</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CID002515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CID000493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Fujairah Gold FZC</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CID002584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CID002243</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Gasabo Gold Refinery Ltd</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RWANDA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CID005006</w:t>
            </w:r>
          </w:p>
        </w:tc>
      </w:tr>
    </w:tbl>
    <w:p>
      <w:pPr>
        <w:sectPr>
          <w:pgSz w:w="11900" w:h="16838" w:orient="portrait"/>
          <w:cols w:equalWidth="0" w:num="1">
            <w:col w:w="10840"/>
          </w:cols>
          <w:pgMar w:left="440" w:top="270" w:right="6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GG Refinery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CID004506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CID002852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Gold by Gold Colombia</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CID003641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Gold Coast Refinery</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GHANA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CID003186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CID001909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CID002312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CID000651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CID000671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LT Metal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CID000689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Heimerle + Meule GmbH</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CID000694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CID000711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CID000707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CID000767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CID000773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HwaSeong CJ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CID000778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CID004714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CID002587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CID000801</w:t>
            </w:r>
          </w:p>
        </w:tc>
      </w:tr>
      <w:tr>
        <w:trPr>
          <w:trHeight w:val="216"/>
        </w:trPr>
        <w:tc>
          <w:tcPr>
            <w:tcW w:w="60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Ltd.</w:t>
            </w:r>
          </w:p>
        </w:tc>
        <w:tc>
          <w:tcPr>
            <w:tcW w:w="37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CID002562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CID000807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Istanbul Gold Refinery</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TURKEY</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CID000814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Italpreziosi</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CID002765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JALAN &amp; Company</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CID002893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 Mint</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CID000823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Jiangxi Copper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CID000855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JSC Uralelectromed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CID000929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CID000937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 Rasmussen</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CID003497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Kaloti Precious Metals</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CID002563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Kazakhmys Smelting LLC</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CID000956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Kazzinc</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CID000957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CID000969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CID002511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Yamakin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CID002100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Kojima Chemicals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CID000981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Korea Zinc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CID002605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CID003463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Kyrgyzaltyn JSC</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KYRGYZSTAN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CID001029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CID002865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CID001032</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Lingbao Gold Co., Ltd.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CID001056</w:t>
            </w:r>
          </w:p>
        </w:tc>
      </w:tr>
    </w:tbl>
    <w:p>
      <w:pPr>
        <w:sectPr>
          <w:pgSz w:w="11900" w:h="16838" w:orient="portrait"/>
          <w:cols w:equalWidth="0" w:num="1">
            <w:col w:w="10840"/>
          </w:cols>
          <w:pgMar w:left="440" w:top="270" w:right="6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CID001058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L’Orfebre S.A.</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ANDORRA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CID002762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LS MnM Inc.</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REPUBLIC OF</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CID001078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CID001093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Marsam Metals</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CID002606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Materion</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CID001113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Matsuda Sangyo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CID001119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MD Overseas</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CID003548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CID001798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AFRICA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CID003575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CID001161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Metallix Refining Inc.</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CID003557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BELGIUM</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CID001980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S.A.</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CID001153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CID001149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SINGAPORE</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CID001152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CID001147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CID001157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PERU</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CID005014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CID001188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CID001193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MKS PAMP SA</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CID001352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MMTC-PAMP India Pvt.,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CID002509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Modeltech Sdn Bhd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CID002857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Morris and Watson</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ZEALAND</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CID002282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TURKEY</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CID001220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UZBEKISTAN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CID001236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NH Recytech Company</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REPUBLIC OF</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CID003189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Nihon Material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CID001259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NOBLE METAL SERVICES</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CID003690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Ogussa Osterreichische Gold- und Silber-Scheideanstalt</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CID002779</w:t>
            </w:r>
          </w:p>
        </w:tc>
      </w:tr>
      <w:tr>
        <w:trPr>
          <w:trHeight w:val="216"/>
        </w:trPr>
        <w:tc>
          <w:tcPr>
            <w:tcW w:w="60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GmbH</w:t>
            </w:r>
          </w:p>
        </w:tc>
        <w:tc>
          <w:tcPr>
            <w:tcW w:w="36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CID001325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OJSC “The Gulidov Krasnoyarsk Non-Ferrous Metals Plant”</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CID001326</w:t>
            </w:r>
          </w:p>
        </w:tc>
      </w:tr>
      <w:tr>
        <w:trPr>
          <w:trHeight w:val="216"/>
        </w:trPr>
        <w:tc>
          <w:tcPr>
            <w:tcW w:w="60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(OJSC Krastsvetmet)</w:t>
            </w:r>
          </w:p>
        </w:tc>
        <w:tc>
          <w:tcPr>
            <w:tcW w:w="36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Pease &amp; Curren</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CID002872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CID001362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CHILE</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CID002919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CID001386</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CID001397</w:t>
            </w:r>
          </w:p>
        </w:tc>
      </w:tr>
    </w:tbl>
    <w:p>
      <w:pPr>
        <w:sectPr>
          <w:pgSz w:w="11900" w:h="16838" w:orient="portrait"/>
          <w:cols w:equalWidth="0" w:num="1">
            <w:col w:w="10840"/>
          </w:cols>
          <w:pgMar w:left="440" w:top="270" w:right="6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PX Precinox S.A.</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SWITZERLAND</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CID001498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QG Refining, LLC</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CID003324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Rand Refinery (Pty)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 AFRICA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CID001512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CID000522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REMONDIS PMR B.V.</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NETHERLANDS</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CID002582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 Canadian Mint</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CID001534</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SAAMP</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FRANCE</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CID002761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Sabin Metal Corp.</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CID001546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Safimet S.p.A</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ITALY</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CID002973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SAFINA A.S.</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CZECHIA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CID002290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Sai Refinery</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CID002853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ARAB EMIRATES</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CID003666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Samduck Precious Metals</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 REPUBLIC OF</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CID001555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Samwon Metals Corp.</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 REPUBLIC OF</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CID001562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SPAIN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CID001585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CID002525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CID001619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CID001622</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CID002750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SHENZHEN JINJUNWEI RESOURCE</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CID004435</w:t>
            </w:r>
          </w:p>
        </w:tc>
      </w:tr>
      <w:tr>
        <w:trPr>
          <w:trHeight w:val="216"/>
        </w:trPr>
        <w:tc>
          <w:tcPr>
            <w:tcW w:w="60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DEVELOPMENT CO., LTD.</w:t>
            </w:r>
          </w:p>
        </w:tc>
        <w:tc>
          <w:tcPr>
            <w:tcW w:w="37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CID002527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CID002588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CID001875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RUSSIAN FEDERATION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CID001756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CID001736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CID002516</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CID001761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Sovereign Metals</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CID003383</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LITHUANIA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CID003153</w:t>
            </w:r>
          </w:p>
        </w:tc>
      </w:tr>
      <w:tr>
        <w:trPr>
          <w:trHeight w:val="216"/>
        </w:trPr>
        <w:tc>
          <w:tcPr>
            <w:tcW w:w="60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w:t>
            </w:r>
          </w:p>
        </w:tc>
        <w:tc>
          <w:tcPr>
            <w:tcW w:w="37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Sudan Gold Refinery</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SUDAN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CID002567</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SungEel HiMetal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 REPUBLIC OF</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CID002918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CID001810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T.C.A S.p.A</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ITALY</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CID002580</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CID004491</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Tokuriki Honten Co., Ltd.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CID001938</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TOO Tau-Ken-Altyn</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KAZAKHSTAN</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CID002615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Torecom</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 REPUBLIC OF</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CID001955</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THAILAND</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CID002314</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CID001993</w:t>
            </w:r>
          </w:p>
        </w:tc>
      </w:tr>
    </w:tbl>
    <w:p>
      <w:pPr>
        <w:sectPr>
          <w:pgSz w:w="11900" w:h="16838" w:orient="portrait"/>
          <w:cols w:equalWidth="0" w:num="1">
            <w:col w:w="10840"/>
          </w:cols>
          <w:pgMar w:left="440" w:top="270" w:right="61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Valcambi S.A.</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SWITZERLAND</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CID002003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WEEEREFINING</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FRANCE</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CID003615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CID002778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Yokohama Metal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CID002129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5D Production OU</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ESTONIA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CID003926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AMG Brasil</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CID001076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CID000291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 Block Metals, LLC</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CID002504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CID000460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CID002505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CID002558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CID002557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CID000616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TANIOBIS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THAILAND</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CID002544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Materion Newton Inc.</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CID002548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TANIOBIS Japan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CID002549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CID002550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TANIOBIS GmbH</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CID002545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CID002492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CID002512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CID004813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CID002842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CID000914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Jiujiang Tanbre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CID000917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CID002506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KEMET de Mexico</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MEXICO</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CID002539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CID001163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Mineracao Taboca S.A.</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CID001175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CID001192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NPM Silmet AS</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ESTONIA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CID001200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CID001277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PowerX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RWANDA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CID004054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CID002707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CID001522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CID003583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CID001769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Taki Chemical Co., Ltd.</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CID001869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Telex Metals</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CID001891</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KAZAKHSTAN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CID001969</w:t>
            </w:r>
          </w:p>
        </w:tc>
      </w:tr>
    </w:tbl>
    <w:p>
      <w:pPr>
        <w:sectPr>
          <w:pgSz w:w="11900" w:h="16838" w:orient="portrait"/>
          <w:cols w:equalWidth="0" w:num="1">
            <w:col w:w="10840"/>
          </w:cols>
          <w:pgMar w:left="440" w:top="270" w:right="61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CID000292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CID002703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Aurubis Beerse</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BELGIUM</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CID002773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Aurubis Berango</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SPAIN</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CID002774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CID002158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CID000228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CID003190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China Tin Group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CID001070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CID002180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CID003486</w:t>
            </w:r>
          </w:p>
        </w:tc>
      </w:tr>
      <w:tr>
        <w:trPr>
          <w:trHeight w:val="216"/>
        </w:trPr>
        <w:tc>
          <w:tcPr>
            <w:tcW w:w="54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CRM Synergies</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SPAIN</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CID003524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CID000313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Rajehan Ariq</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CID002593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CID000377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CID003356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Dowa</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CID000402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CID002572</w:t>
            </w:r>
          </w:p>
        </w:tc>
      </w:tr>
      <w:tr>
        <w:trPr>
          <w:trHeight w:val="216"/>
        </w:trPr>
        <w:tc>
          <w:tcPr>
            <w:tcW w:w="54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 Vinto</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CID000438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Estanho de Rondonia S.A.</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CID000448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CID003582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Fenix Metals</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POLAND</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CID000468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Minsur</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PERU</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CID001182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CID003410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CID000942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CID000538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CID001908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CID000555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AUSTRALIA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CID004754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CID003116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CID002844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MALAYSIA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CID001105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CID001191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Timah Tbk Mentok</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CID001482</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CID001231</w:t>
            </w:r>
          </w:p>
        </w:tc>
      </w:tr>
    </w:tbl>
    <w:p>
      <w:pPr>
        <w:sectPr>
          <w:pgSz w:w="11900" w:h="16838" w:orient="portrait"/>
          <w:cols w:equalWidth="0" w:num="1">
            <w:col w:w="10840"/>
          </w:cols>
          <w:pgMar w:left="440" w:top="270" w:right="61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Timah Tbk Kundur</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CID001477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CID004796</w:t>
            </w:r>
          </w:p>
        </w:tc>
      </w:tr>
      <w:tr>
        <w:trPr>
          <w:trHeight w:val="216"/>
        </w:trPr>
        <w:tc>
          <w:tcPr>
            <w:tcW w:w="54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Development Co., Ltd</w:t>
            </w:r>
          </w:p>
        </w:tc>
        <w:tc>
          <w:tcPr>
            <w:tcW w:w="4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Luna Smelter, Ltd.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RWANDA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CID003387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CID003379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CID002468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MALAYSIA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CID004434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Melt Metais e Ligas S.A.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CID002500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Metallic Resources, Inc.</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CID001142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Mineracao Taboca S.A.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CID001173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CID002015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CID004065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Modeltech Sdn Bhd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MALAYSIA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CID002858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CID002573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Novosibirsk Tin Combine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RUSSIAN FEDERATION</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CID001305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THAILAND</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CID001314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PHILIPPINES</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CID002517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CID001337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 Kay Metal, Inc</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CID005189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MYANMAR</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CID003208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CID003409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Arsed Indonesia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CID005067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CID002503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Bangka Prima Tin</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CID002776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Cipta Persada Mulia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CID002696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Mitra Stania Prima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CID001453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CID003449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Prima Timah Utama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CID001458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CID003868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CID002706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CID004692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Rui Da Hung</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CID001539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Super Ligas</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CID002756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CID004403</w:t>
            </w:r>
          </w:p>
        </w:tc>
      </w:tr>
      <w:tr>
        <w:trPr>
          <w:trHeight w:val="216"/>
        </w:trPr>
        <w:tc>
          <w:tcPr>
            <w:tcW w:w="54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4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Thaisarco</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THAILAND</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CID001898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CID003325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CID002574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CID002036</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UGANDA</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CID004724</w:t>
            </w:r>
          </w:p>
        </w:tc>
      </w:tr>
    </w:tbl>
    <w:p>
      <w:pPr>
        <w:sectPr>
          <w:pgSz w:w="11900" w:h="16838" w:orient="portrait"/>
          <w:cols w:equalWidth="0" w:num="1">
            <w:col w:w="10840"/>
          </w:cols>
          <w:pgMar w:left="440" w:top="270" w:right="6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CID003397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A.L.M.T. Corp.</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CID000004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ACL Metais Eireli</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CID002833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CID003427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Artek LLC</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CID003553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CID002502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Kennametal Huntsville</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CID000105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CID000218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CID002513</w:t>
            </w:r>
          </w:p>
        </w:tc>
      </w:tr>
      <w:tr>
        <w:trPr>
          <w:trHeight w:val="216"/>
        </w:trPr>
        <w:tc>
          <w:tcPr>
            <w:tcW w:w="78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Tungsten Products Branch</w:t>
            </w:r>
          </w:p>
        </w:tc>
        <w:tc>
          <w:tcPr>
            <w:tcW w:w="40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CID002641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CID000258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CNMC (Guangxi) PGMA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CID000281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Cronimet Brasil Ltda</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CID003468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CID004060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CID003609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CID002315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CID002494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CID003417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CID000568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CID002542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H.C. Starck Tungsten GmbH</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CID002541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HANNAE FOR T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CID003978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CID000769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Hydrometallurg, JSC</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CID002649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 New Metals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CID000825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CID002551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CID002321</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CID002313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CID002318</w:t>
            </w:r>
          </w:p>
        </w:tc>
      </w:tr>
      <w:tr>
        <w:trPr>
          <w:trHeight w:val="216"/>
        </w:trPr>
        <w:tc>
          <w:tcPr>
            <w:tcW w:w="78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40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CID002317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CID002316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CID005012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CID003408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CID004619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Kennametal Fallon</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CID000966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LAO PEOPLE’S DEMOCRATIC REPUBLIC</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CID005017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Lianyou Metals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CID003407</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Lianyou Resources Co., Ltd.</w:t>
            </w: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CID004397</w:t>
            </w:r>
          </w:p>
        </w:tc>
      </w:tr>
    </w:tbl>
    <w:p>
      <w:pPr>
        <w:sectPr>
          <w:pgSz w:w="11900" w:h="16838" w:orient="portrait"/>
          <w:cols w:equalWidth="0" w:num="1">
            <w:col w:w="10840"/>
          </w:cols>
          <w:pgMar w:left="440" w:top="270" w:right="6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LLC Vostok</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CID003643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MALAYSIA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CID004056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CID002319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CID002543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Moliren Ltd.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CID002845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CID004034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Niagara Refining LLC</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CID002589</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NPP Tyazhmetprom LLC</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CID003416</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OOO “Technolom” 1</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CID003614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OOO “Technolom” 2</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CID003612</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PHILIPPINES</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CID004797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PHILIPPINES</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CID004438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PHILIPPINES</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CID002827</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S.P.T. spol.s r.o.</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CZECHIA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CID005068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CID004430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Tungamoy Metals Inc.</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KOREA, REPUBLIC OF</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CID005248</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CID003993</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CID002724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AUSTRIA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CID002044</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CID002320</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Xiamen Tungsten Co., Ltd.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CID002082</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8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6"/>
              </w:rPr>
              <w:t>CID003662</w:t>
            </w:r>
          </w:p>
        </w:tc>
      </w:tr>
    </w:tbl>
    <w:p>
      <w:pPr>
        <w:sectPr>
          <w:pgSz w:w="11900" w:h="16838" w:orient="portrait"/>
          <w:cols w:equalWidth="0" w:num="1">
            <w:col w:w="10840"/>
          </w:cols>
          <w:pgMar w:left="440" w:top="270" w:right="6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 Future Due Diligence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continue to communicate our expectations and information requirements to our direct suppliers. Over time, we anticipate that the amount of information available globally on the traceability and sourcing of these ores will increase and improve our knowledge. We will continue to make inquiries to our direct suppliers and undertake additional risk assessments when potentially relevant changes in facts or circumstances are identified. If we become aware of a supplier whose due diligence needs improvement, we may continue the trade relationship while that supplier improves its compliance program. We expect our suppliers to take similar measures with their suppliers to ensure alignment throughout the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those above, the Company will undertake the following steps during the next compliance period:</w:t>
      </w:r>
    </w:p>
    <w:p>
      <w:pPr>
        <w:spacing w:after="0" w:line="131" w:lineRule="exact"/>
        <w:rPr>
          <w:sz w:val="20"/>
          <w:szCs w:val="20"/>
          <w:color w:val="auto"/>
        </w:rPr>
      </w:pPr>
    </w:p>
    <w:p>
      <w:pPr>
        <w:ind w:left="420" w:hanging="3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conflict minerals policy statement and update if necessary.</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collect responses from suppliers using the most recent revision of the CMRT.</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that did not provide a response in 2025 or provided incomplete responses to enhance our data collection for 2026.</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track performance of risk mitigation efforts.</w:t>
      </w:r>
    </w:p>
    <w:p>
      <w:pPr>
        <w:spacing w:after="0" w:line="130" w:lineRule="exact"/>
        <w:rPr>
          <w:rFonts w:ascii="Times New Roman" w:cs="Times New Roman" w:eastAsia="Times New Roman" w:hAnsi="Times New Roman"/>
          <w:sz w:val="18"/>
          <w:szCs w:val="18"/>
          <w:color w:val="auto"/>
        </w:rPr>
      </w:pPr>
    </w:p>
    <w:p>
      <w:pPr>
        <w:ind w:left="420" w:right="440" w:hanging="316"/>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 and validate RCOI results to information collected via independent third-party audit programs, such as the RMI, and through our Company’s own coordinated outreach to smelters.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responsible sourcing from the DRC and adjoining countries.</w:t>
      </w:r>
    </w:p>
    <w:p>
      <w:pPr>
        <w:sectPr>
          <w:pgSz w:w="11900" w:h="16838" w:orient="portrait"/>
          <w:cols w:equalWidth="0" w:num="1">
            <w:col w:w="10840"/>
          </w:cols>
          <w:pgMar w:left="440" w:top="266" w:right="619" w:bottom="1440" w:gutter="0" w:footer="0" w:header="0"/>
        </w:sectPr>
      </w:pPr>
    </w:p>
    <w:bookmarkStart w:id="19" w:name="page20"/>
    <w:bookmarkEnd w:id="19"/>
    <w:p>
      <w:pPr>
        <w:ind w:left="4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I – Countries of Origin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information provided in this Appendix is based on the information collected from the Company’s suppliers.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 Democratic Republic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Kyrgyzstan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Lao People’s Democratic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 Province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 United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ectPr>
          <w:pgSz w:w="11900" w:h="16838" w:orient="portrait"/>
          <w:cols w:equalWidth="0" w:num="1">
            <w:col w:w="10019"/>
          </w:cols>
          <w:pgMar w:left="440" w:top="26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Uganda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 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upperLetter"/>
      <w:start w:val="35"/>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2026-05-29T18:55:33Z</dcterms:created>
  <dcterms:modified xsi:type="dcterms:W3CDTF">2026-05-29T18:55:33Z</dcterms:modified>
</cp:coreProperties>
</file>