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134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1347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71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Cucuz Sasha</w:t>
              </w:r>
            </w:hyperlink>
          </w:p>
        </w:tc>
        <w:tc>
          <w:tcPr>
            <w:tcW w:w="1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Neuronetics,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STIM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1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Borders>
              <w:bottom w:val="single" w:sz="8" w:color="0000EE"/>
            </w:tcBorders>
          </w:tcPr>
          <w:p>
            <w:pPr>
              <w:spacing w:after="0"/>
              <w:rPr>
                <w:sz w:val="6"/>
                <w:szCs w:val="6"/>
                <w:color w:val="auto"/>
              </w:rPr>
            </w:pPr>
          </w:p>
        </w:tc>
        <w:tc>
          <w:tcPr>
            <w:tcW w:w="22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10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05/28/2026</w:t>
            </w:r>
          </w:p>
        </w:tc>
        <w:tc>
          <w:tcPr>
            <w:tcW w:w="22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NEURONETICS, INC.</w:t>
            </w:r>
          </w:p>
        </w:tc>
        <w:tc>
          <w:tcPr>
            <w:tcW w:w="138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22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3222 PHOENIXVILLE PIKE</w:t>
            </w: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60" w:type="dxa"/>
            <w:vAlign w:val="bottom"/>
            <w:tcBorders>
              <w:bottom w:val="single" w:sz="8" w:color="2C2C2C"/>
            </w:tcBorders>
          </w:tcPr>
          <w:p>
            <w:pPr>
              <w:spacing w:after="0"/>
              <w:rPr>
                <w:sz w:val="12"/>
                <w:szCs w:val="12"/>
                <w:color w:val="auto"/>
              </w:rPr>
            </w:pPr>
          </w:p>
        </w:tc>
        <w:tc>
          <w:tcPr>
            <w:tcW w:w="22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60" w:type="dxa"/>
            <w:vAlign w:val="bottom"/>
            <w:gridSpan w:val="3"/>
            <w:vMerge w:val="continue"/>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713"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MALVERN</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19355</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713"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jc w:val="right"/>
              <w:ind w:right="182"/>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05/28/2026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30,000</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82"/>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(2)</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1,542,798</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Greybrook</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2,042</w:t>
            </w:r>
            <w:r>
              <w:rPr>
                <w:rFonts w:ascii="Times New Roman" w:cs="Times New Roman" w:eastAsia="Times New Roman" w:hAnsi="Times New Roman"/>
                <w:sz w:val="22"/>
                <w:szCs w:val="22"/>
                <w:color w:val="008000"/>
                <w:w w:val="93"/>
                <w:vertAlign w:val="superscript"/>
              </w:rPr>
              <w:t>(3)</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Realty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26"/>
        </w:trPr>
        <w:tc>
          <w:tcPr>
            <w:tcW w:w="2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Inc.</w:t>
            </w:r>
          </w:p>
        </w:tc>
        <w:tc>
          <w:tcPr>
            <w:tcW w:w="0" w:type="dxa"/>
            <w:vAlign w:val="bottom"/>
          </w:tcPr>
          <w:p>
            <w:pPr>
              <w:spacing w:after="0"/>
              <w:rPr>
                <w:sz w:val="1"/>
                <w:szCs w:val="1"/>
                <w:color w:val="auto"/>
              </w:rPr>
            </w:pPr>
          </w:p>
        </w:tc>
      </w:tr>
      <w:tr>
        <w:trPr>
          <w:trHeight w:val="61"/>
        </w:trPr>
        <w:tc>
          <w:tcPr>
            <w:tcW w:w="24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516,084</w:t>
            </w:r>
            <w:r>
              <w:rPr>
                <w:rFonts w:ascii="Times New Roman" w:cs="Times New Roman" w:eastAsia="Times New Roman" w:hAnsi="Times New Roman"/>
                <w:sz w:val="22"/>
                <w:szCs w:val="22"/>
                <w:color w:val="008000"/>
                <w:w w:val="93"/>
                <w:vertAlign w:val="superscript"/>
              </w:rPr>
              <w:t>(3)</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Greybrook</w:t>
            </w:r>
          </w:p>
        </w:tc>
        <w:tc>
          <w:tcPr>
            <w:tcW w:w="0" w:type="dxa"/>
            <w:vAlign w:val="bottom"/>
          </w:tcPr>
          <w:p>
            <w:pPr>
              <w:spacing w:after="0"/>
              <w:rPr>
                <w:sz w:val="1"/>
                <w:szCs w:val="1"/>
                <w:color w:val="auto"/>
              </w:rPr>
            </w:pPr>
          </w:p>
        </w:tc>
      </w:tr>
      <w:tr>
        <w:trPr>
          <w:trHeight w:val="174"/>
        </w:trPr>
        <w:tc>
          <w:tcPr>
            <w:tcW w:w="244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Health</w:t>
            </w:r>
          </w:p>
        </w:tc>
        <w:tc>
          <w:tcPr>
            <w:tcW w:w="0" w:type="dxa"/>
            <w:vAlign w:val="bottom"/>
          </w:tcPr>
          <w:p>
            <w:pPr>
              <w:spacing w:after="0"/>
              <w:rPr>
                <w:sz w:val="1"/>
                <w:szCs w:val="1"/>
                <w:color w:val="auto"/>
              </w:rPr>
            </w:pPr>
          </w:p>
        </w:tc>
      </w:tr>
      <w:tr>
        <w:trPr>
          <w:trHeight w:val="52"/>
        </w:trPr>
        <w:tc>
          <w:tcPr>
            <w:tcW w:w="24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140"/>
        <w:spacing w:after="0"/>
        <w:rPr>
          <w:sz w:val="20"/>
          <w:szCs w:val="20"/>
          <w:color w:val="auto"/>
        </w:rPr>
      </w:pPr>
      <w:r>
        <w:rPr>
          <w:rFonts w:ascii="Times New Roman" w:cs="Times New Roman" w:eastAsia="Times New Roman" w:hAnsi="Times New Roman"/>
          <w:sz w:val="17"/>
          <w:szCs w:val="17"/>
          <w:color w:val="0000FF"/>
        </w:rPr>
        <w:t>Inc.</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award that vests on the earlier of (a) May 28, 2027 or (b) the Reporting Person's Board-approved separation of service from the Issuer or change in control of the Issuer, in each case subject to continuous service of the Reporting Person through such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Issuer's common stock.</w:t>
      </w:r>
    </w:p>
    <w:p>
      <w:pPr>
        <w:spacing w:after="0" w:line="50"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Francis Brown, as</w:t>
            </w:r>
          </w:p>
        </w:tc>
        <w:tc>
          <w:tcPr>
            <w:tcW w:w="6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05/29/2026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7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04858" TargetMode="External"/><Relationship Id="rId14" Type="http://schemas.openxmlformats.org/officeDocument/2006/relationships/hyperlink" Target="http://www.sec.gov/cgi-bin/browse-edgar?action=getcompany&amp;CIK=0001227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2026-05-29T18:02:31Z</dcterms:created>
  <dcterms:modified xsi:type="dcterms:W3CDTF">2026-05-29T18:02:31Z</dcterms:modified>
</cp:coreProperties>
</file>