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0"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323"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58"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3355340</wp:posOffset>
            </wp:positionH>
            <wp:positionV relativeFrom="paragraph">
              <wp:posOffset>-19050</wp:posOffset>
            </wp:positionV>
            <wp:extent cx="228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73" w:lineRule="exact"/>
        <w:rPr>
          <w:sz w:val="24"/>
          <w:szCs w:val="24"/>
          <w:color w:val="auto"/>
        </w:rPr>
      </w:pPr>
    </w:p>
    <w:p>
      <w:pPr>
        <w:spacing w:after="0" w:line="207" w:lineRule="exact"/>
        <w:tabs>
          <w:tab w:leader="none" w:pos="49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15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43"/>
          <w:szCs w:val="43"/>
          <w:b w:val="1"/>
          <w:bCs w:val="1"/>
          <w:color w:val="auto"/>
        </w:rPr>
        <w:t>Neuronetics,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3"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268605</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351790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154305</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214630</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3222 Phoenixville Pike, Malvern, Pennsylvania 19355</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May 30, 2024</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left="300" w:right="879"/>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virtual Annual Meeting of Stockholders (the “Annual Meeting”) of Neuronetics, Inc., a Delaware corporation (the “Company”). The Annual Meeting will be held solely via live webcast on Thursday, May 30, 2024 at 8:00 a.m. Eastern Time to conduct the following business:</w:t>
      </w:r>
    </w:p>
    <w:p>
      <w:pPr>
        <w:spacing w:after="0" w:line="68" w:lineRule="exact"/>
        <w:rPr>
          <w:sz w:val="20"/>
          <w:szCs w:val="20"/>
          <w:color w:val="auto"/>
        </w:rPr>
      </w:pPr>
    </w:p>
    <w:p>
      <w:pPr>
        <w:ind w:left="1000" w:right="103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the five nominees for director named herein to serve until the next annual meeting and their successors are duly elected and qualified.</w:t>
      </w:r>
    </w:p>
    <w:p>
      <w:pPr>
        <w:spacing w:after="0" w:line="53"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selection of KPMG LLP by the Audit Committee of the Board of Directors as the independent registered public accounting firm of the Company for its year ending December 31, 2024;</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on a non-binding, advisory basis, the compensation of our named executive officers;</w:t>
      </w:r>
    </w:p>
    <w:p>
      <w:pPr>
        <w:spacing w:after="0" w:line="117"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on a non-binding, advisory basis, the frequency of future stockholder advisory votes on the compensation of our named executive officers;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properly brought before the Annual Meeting.</w:t>
      </w:r>
    </w:p>
    <w:p>
      <w:pPr>
        <w:spacing w:after="0" w:line="117"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 Only stockholders of record and beneficial owners of our common stock at 5:00 p.m. Eastern Time on April 1, 2024 are eligible to attend and vote at the Annual Meeting or any adjournment thereof. If you are a stockholder of record, you will need to visit virtualshareholdermeeting.com/STIM2024 and use the 16-digit control number received in your notice to log in to this website. Beneficial owners of shares held in street name will need to follow the instructions provided by the broker, bank or other nominee that holds their shares. We would encourage stockholders to log in to this website and access the webcast before the start time of the Annual Meeting.</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180340</wp:posOffset>
            </wp:positionV>
            <wp:extent cx="1791335"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9133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 Andrew Macan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Executive Vice President, General Counsel, Chief Compliance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Officer and Corporate Secretary</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Malvern, Pennsylvania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55245</wp:posOffset>
            </wp:positionV>
            <wp:extent cx="5344795" cy="1118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4795" cy="1118235"/>
                    </a:xfrm>
                    <a:prstGeom prst="rect">
                      <a:avLst/>
                    </a:prstGeom>
                    <a:noFill/>
                  </pic:spPr>
                </pic:pic>
              </a:graphicData>
            </a:graphic>
          </wp:anchor>
        </w:drawing>
      </w:r>
    </w:p>
    <w:p>
      <w:pPr>
        <w:spacing w:after="0" w:line="169" w:lineRule="exact"/>
        <w:rPr>
          <w:sz w:val="20"/>
          <w:szCs w:val="20"/>
          <w:color w:val="auto"/>
        </w:rPr>
      </w:pPr>
    </w:p>
    <w:p>
      <w:pPr>
        <w:ind w:left="420" w:right="439"/>
        <w:spacing w:after="0" w:line="256" w:lineRule="auto"/>
        <w:rPr>
          <w:sz w:val="20"/>
          <w:szCs w:val="20"/>
          <w:color w:val="auto"/>
        </w:rPr>
      </w:pPr>
      <w:r>
        <w:rPr>
          <w:rFonts w:ascii="Times New Roman" w:cs="Times New Roman" w:eastAsia="Times New Roman" w:hAnsi="Times New Roman"/>
          <w:sz w:val="18"/>
          <w:szCs w:val="18"/>
          <w:b w:val="1"/>
          <w:bCs w:val="1"/>
          <w:color w:val="auto"/>
        </w:rPr>
        <w:t>If you are a stockholder of record or a beneficial owner of our common stock at 5:00 p.m. Eastern Time on April 1, 2024, you are cordially invited to attend the Annual Meeting. Whether or not you expect to attend the Annual Meeting, please complete, date, sign and return the proxy card or voting instruction form mailed to you, or vote over the telephone or the internet as instructed in these materials or materials provided by your broker, bank or other agent, as promptly as possible in order to ensure your representation at the Annual Meeting. Even if you have voted by proxy, you may still vote directly if you attend the Annual Meeting.</w:t>
      </w:r>
    </w:p>
    <w:p>
      <w:pPr>
        <w:spacing w:after="0" w:line="223" w:lineRule="exact"/>
        <w:rPr>
          <w:sz w:val="20"/>
          <w:szCs w:val="20"/>
          <w:color w:val="auto"/>
        </w:rPr>
      </w:pPr>
    </w:p>
    <w:p>
      <w:pPr>
        <w:jc w:val="center"/>
        <w:ind w:left="300" w:right="339"/>
        <w:spacing w:after="0" w:line="259" w:lineRule="auto"/>
        <w:rPr>
          <w:sz w:val="20"/>
          <w:szCs w:val="20"/>
          <w:color w:val="auto"/>
        </w:rPr>
      </w:pPr>
      <w:r>
        <w:rPr>
          <w:rFonts w:ascii="Times New Roman" w:cs="Times New Roman" w:eastAsia="Times New Roman" w:hAnsi="Times New Roman"/>
          <w:sz w:val="18"/>
          <w:szCs w:val="18"/>
          <w:b w:val="1"/>
          <w:bCs w:val="1"/>
          <w:color w:val="auto"/>
        </w:rPr>
        <w:t>IMPORTANT NOTICE REGARDING AVAILABILITY OF PROXY MATERIALS FOR THE VIRTUAL ANNUAL MEETING OF STOCKHOLDERS TO BE HELD ON MAY 30, 2024:</w:t>
      </w:r>
    </w:p>
    <w:p>
      <w:pPr>
        <w:jc w:val="center"/>
        <w:ind w:left="300" w:right="359"/>
        <w:spacing w:after="0" w:line="255" w:lineRule="auto"/>
        <w:rPr>
          <w:sz w:val="20"/>
          <w:szCs w:val="20"/>
          <w:color w:val="auto"/>
        </w:rPr>
      </w:pPr>
      <w:r>
        <w:rPr>
          <w:rFonts w:ascii="Times New Roman" w:cs="Times New Roman" w:eastAsia="Times New Roman" w:hAnsi="Times New Roman"/>
          <w:sz w:val="18"/>
          <w:szCs w:val="18"/>
          <w:b w:val="1"/>
          <w:bCs w:val="1"/>
          <w:color w:val="auto"/>
        </w:rPr>
        <w:t>The Notice of Internet Availability of Proxy Materials, Notice of Annual Meeting of Stockholders, Proxy Statement, Proxy Card and 2023 Annual Report are available at virtualshareholdermeeting.com/STIM2024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112395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tbl>
      <w:tblPr>
        <w:tblLayout w:type="fixed"/>
        <w:tblInd w:w="300" w:type="dxa"/>
        <w:tblCellMar>
          <w:top w:w="0" w:type="dxa"/>
          <w:left w:w="0" w:type="dxa"/>
          <w:bottom w:w="0" w:type="dxa"/>
          <w:right w:w="0" w:type="dxa"/>
        </w:tblCellMar>
      </w:tblPr>
      <w:tr>
        <w:trPr>
          <w:trHeight w:val="161"/>
        </w:trPr>
        <w:tc>
          <w:tcPr>
            <w:tcW w:w="822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1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0" w:type="dxa"/>
            <w:vAlign w:val="bottom"/>
            <w:gridSpan w:val="11"/>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180" w:type="dxa"/>
            <w:vAlign w:val="bottom"/>
          </w:tcPr>
          <w:p>
            <w:pPr>
              <w:spacing w:after="0"/>
              <w:rPr>
                <w:sz w:val="7"/>
                <w:szCs w:val="7"/>
                <w:color w:val="auto"/>
              </w:rPr>
            </w:pPr>
          </w:p>
        </w:tc>
        <w:tc>
          <w:tcPr>
            <w:tcW w:w="118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82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INTRODUCTION</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shd w:val="clear" w:color="auto" w:fill="CCEEFF"/>
          </w:tcPr>
          <w:p>
            <w:pPr>
              <w:spacing w:after="0"/>
              <w:rPr>
                <w:sz w:val="24"/>
                <w:szCs w:val="24"/>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QUESTIONS AND ANSWERS ABOUT THESE PROXY MATERIALS AND VOTING</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EE"/>
                <w:w w:val="88"/>
              </w:rPr>
              <w:t>2</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PROPOSAL 1</w:t>
            </w:r>
          </w:p>
        </w:tc>
        <w:tc>
          <w:tcPr>
            <w:tcW w:w="716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8"/>
                <w:szCs w:val="18"/>
                <w:color w:val="0000EE"/>
              </w:rPr>
              <w:t>- ELECTION OF DIRECTORS</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w w:val="88"/>
              </w:rPr>
              <w:t>8</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INFORMATION REGARDING THE BOARD OF DIRECTORS AND CORPORATE GOVERNANCE</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11</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REPORT OF THE AUDIT COMMITTEE OF THE BOARD OF DIRECTORS</w:t>
            </w:r>
          </w:p>
        </w:tc>
        <w:tc>
          <w:tcPr>
            <w:tcW w:w="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18</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0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PROPOSAL 2</w:t>
            </w:r>
          </w:p>
        </w:tc>
        <w:tc>
          <w:tcPr>
            <w:tcW w:w="6060" w:type="dxa"/>
            <w:vAlign w:val="bottom"/>
            <w:tcBorders>
              <w:bottom w:val="single" w:sz="8" w:color="0000EE"/>
            </w:tcBorders>
            <w:gridSpan w:val="15"/>
          </w:tcPr>
          <w:p>
            <w:pPr>
              <w:ind w:left="40"/>
              <w:spacing w:after="0"/>
              <w:rPr>
                <w:sz w:val="20"/>
                <w:szCs w:val="20"/>
                <w:color w:val="auto"/>
              </w:rPr>
            </w:pPr>
            <w:r>
              <w:rPr>
                <w:rFonts w:ascii="Times New Roman" w:cs="Times New Roman" w:eastAsia="Times New Roman" w:hAnsi="Times New Roman"/>
                <w:sz w:val="18"/>
                <w:szCs w:val="18"/>
                <w:color w:val="0000EE"/>
                <w:w w:val="98"/>
              </w:rPr>
              <w:t>- RATIFICATION OF SELECTION OF INDEPENDENT REGISTERED PUBLIC</w:t>
            </w:r>
          </w:p>
        </w:tc>
        <w:tc>
          <w:tcPr>
            <w:tcW w:w="110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80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2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19</w:t>
            </w:r>
          </w:p>
        </w:tc>
      </w:tr>
      <w:tr>
        <w:trPr>
          <w:trHeight w:val="75"/>
        </w:trPr>
        <w:tc>
          <w:tcPr>
            <w:tcW w:w="180" w:type="dxa"/>
            <w:vAlign w:val="bottom"/>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21</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EXECUTIVE OFFICERS OF THE COMPANY</w:t>
            </w:r>
          </w:p>
        </w:tc>
        <w:tc>
          <w:tcPr>
            <w:tcW w:w="2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23</w:t>
            </w:r>
          </w:p>
        </w:tc>
      </w:tr>
      <w:tr>
        <w:trPr>
          <w:trHeight w:val="74"/>
        </w:trPr>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2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24</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PROPOSAL 3</w:t>
            </w:r>
          </w:p>
        </w:tc>
        <w:tc>
          <w:tcPr>
            <w:tcW w:w="7160" w:type="dxa"/>
            <w:vAlign w:val="bottom"/>
            <w:gridSpan w:val="18"/>
          </w:tcPr>
          <w:p>
            <w:pPr>
              <w:ind w:left="40"/>
              <w:spacing w:after="0"/>
              <w:rPr>
                <w:sz w:val="20"/>
                <w:szCs w:val="20"/>
                <w:color w:val="auto"/>
              </w:rPr>
            </w:pPr>
            <w:r>
              <w:rPr>
                <w:rFonts w:ascii="Times New Roman" w:cs="Times New Roman" w:eastAsia="Times New Roman" w:hAnsi="Times New Roman"/>
                <w:sz w:val="18"/>
                <w:szCs w:val="18"/>
                <w:color w:val="0000EE"/>
              </w:rPr>
              <w:t>- ADVISORY VOTE ON EXECUTIVE COMPENSATION</w:t>
            </w:r>
          </w:p>
        </w:tc>
        <w:tc>
          <w:tcPr>
            <w:tcW w:w="2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32</w:t>
            </w:r>
          </w:p>
        </w:tc>
      </w:tr>
      <w:tr>
        <w:trPr>
          <w:trHeight w:val="75"/>
        </w:trPr>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8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PROPOSAL 4</w:t>
            </w:r>
          </w:p>
        </w:tc>
        <w:tc>
          <w:tcPr>
            <w:tcW w:w="716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8"/>
                <w:szCs w:val="18"/>
                <w:color w:val="0000EE"/>
              </w:rPr>
              <w:t>- ADVISORY VOTE ON FREQUENCY OF STOCKHOLDER ADVISORY VOTES ON</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7420" w:type="dxa"/>
            <w:vAlign w:val="bottom"/>
            <w:tcBorders>
              <w:top w:val="single" w:sz="8" w:color="0000EE"/>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6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33</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DIRECTOR COMPENSATION</w:t>
            </w:r>
          </w:p>
        </w:tc>
        <w:tc>
          <w:tcPr>
            <w:tcW w:w="2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34</w:t>
            </w:r>
          </w:p>
        </w:tc>
      </w:tr>
      <w:tr>
        <w:trPr>
          <w:trHeight w:val="75"/>
        </w:trPr>
        <w:tc>
          <w:tcPr>
            <w:tcW w:w="1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TRANSACTIONS WITH RELATED PERSONS</w:t>
            </w:r>
          </w:p>
        </w:tc>
        <w:tc>
          <w:tcPr>
            <w:tcW w:w="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35</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4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6"/>
              </w:rPr>
              <w:t>OTHER MATTERS</w:t>
            </w:r>
          </w:p>
        </w:tc>
        <w:tc>
          <w:tcPr>
            <w:tcW w:w="6760" w:type="dxa"/>
            <w:vAlign w:val="bottom"/>
            <w:gridSpan w:val="16"/>
          </w:tcPr>
          <w:p>
            <w:pPr>
              <w:spacing w:after="0"/>
              <w:rPr>
                <w:sz w:val="19"/>
                <w:szCs w:val="19"/>
                <w:color w:val="auto"/>
              </w:rPr>
            </w:pPr>
          </w:p>
        </w:tc>
        <w:tc>
          <w:tcPr>
            <w:tcW w:w="2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37</w:t>
            </w:r>
          </w:p>
        </w:tc>
      </w:tr>
      <w:tr>
        <w:trPr>
          <w:trHeight w:val="20"/>
        </w:trPr>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3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3222 Phoenixville Pike, Malvern, Pennsylvania 19355</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FOR THE 2024 ANNUAL MEETING OF STOCKHOLDERS</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April 11, 2024</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99"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The 2024 Annual Meeting of Stockholders (the “Annual Meeting”) of Neuronetics, Inc. (“Neuronetics,” “we,” “us,” “our,” and the “Company”) will be held virtually on Thursday, May 30, 2024 at 8:00 a.m. Eastern Time. To attend and participate in the Annual Meeting, stockholders of record will need to visit virtualshareholdermeeting.com/STIM2024 and use their 16-digit control number received in their notice (their “Control Number”) to log in to this website. Beneficial owners of shares held in street name will need to follow the instructions provided by the broker, bank or other nominee that holds their shares. We encourage stockholders to log in to this website and access the webcast before the start time of the Annual Meeting.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purpose of this proxy statement?</w:t>
      </w:r>
    </w:p>
    <w:p>
      <w:pPr>
        <w:spacing w:after="0" w:line="121"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Board of Directors of the Company (the “Board of Directors” or the “Board”) is soliciting a proxy from each holder of our common stock to vote on the items to be considered at the Annual Meeting, scheduled to take place on Thursday, May 30, 2024, or at any adjournment or postponement of the Annual Meeting.</w:t>
      </w:r>
    </w:p>
    <w:p>
      <w:pPr>
        <w:spacing w:after="0" w:line="68" w:lineRule="exact"/>
        <w:rPr>
          <w:sz w:val="20"/>
          <w:szCs w:val="20"/>
          <w:color w:val="auto"/>
        </w:rPr>
      </w:pPr>
    </w:p>
    <w:p>
      <w:pPr>
        <w:ind w:left="300" w:right="779"/>
        <w:spacing w:after="0" w:line="282" w:lineRule="auto"/>
        <w:rPr>
          <w:sz w:val="20"/>
          <w:szCs w:val="20"/>
          <w:color w:val="auto"/>
        </w:rPr>
      </w:pPr>
      <w:r>
        <w:rPr>
          <w:rFonts w:ascii="Times New Roman" w:cs="Times New Roman" w:eastAsia="Times New Roman" w:hAnsi="Times New Roman"/>
          <w:sz w:val="18"/>
          <w:szCs w:val="18"/>
          <w:color w:val="auto"/>
        </w:rPr>
        <w:t>We are first mailing or making available to stockholders this proxy statement and related materials on or about April 11, 2024.</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did I receive a Notice of Internet Availability of Proxy Materials?</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Pursuant to rules adopted by the U.S. Securities and Exchange Commission (the “SEC”), we have elected to provide access to our proxy materials over the internet. Accordingly, we will send you a Notice of Internet Availability of Proxy Materials (the “Notice”) because the Board is soliciting your proxy to vote at the 2024 Annual Meeting, including at any adjournment or postponement of the Annual Meeting. All stockholders of record at 5:00 p.m. Eastern Time on April 1, 2024 (the “Record Date”) will have the ability to access the proxy materials on the website referred to in the Notice or request to receive a printed set of the proxy materials. Instructions on how to access the proxy materials over the internet or to request a printed copy may be found in the Notice. We will mail the Notice on or about April 11, 2024 to all stockholders of record entitled to vote at the Annual Meeting.</w:t>
      </w:r>
    </w:p>
    <w:p>
      <w:pPr>
        <w:spacing w:after="0" w:line="188"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Why did members of my household only receive one copy of the Notice even though multiple stockholders live here?</w:t>
      </w:r>
    </w:p>
    <w:p>
      <w:pPr>
        <w:spacing w:after="0" w:line="51"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the Notice or other Annual Meeting materials with respect to two or more stockholders sharing the same address by delivering one copy of the Notice or other Annual Meeting materials addressed to those stockholders. This process, which is commonly referred to as “householding,” potentially means extra convenience for stockholders and cost savings for companies.</w:t>
      </w:r>
    </w:p>
    <w:p>
      <w:pPr>
        <w:spacing w:after="0" w:line="75"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Many brokers with account holders who are Neuronetics stockholders will be householding the Company’s proxy materials. One copy of the Notice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copy of the Notice, please notify your broker or Broadridge Financial Solutions, Inc. Stockholders who currently receive multiple copies of the Notice at their addresses and would like to request householding of their communications should contact their brokers or Broadridge Financial Solutions, Inc. Any householded stockholder may request prompt delivery of a copy of the annual report or proxy statement by contacting Broadridge Financial Solutions, Inc. at 1-866-540-7095 or by writing to it at Broadridge Financial Solutions, Inc., 51 Mercedes Way, Edgewood, NY 11717.</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The Annual Meeting will be held virtually on Thursday, May 30, 2024 at 8:00 a.m. Eastern Time. To attend and participate in the Annual Meeting, stockholders of record at 5:00 p.m. Eastern Time on the Record Date will need to visit virtualshareholdermeeting.com/STIM2024 and use their Control Number to log in to this website. Beneficial owners of shares held in street name will need to follow the instructions provided by the broker, bank or other nominee that holds their shares. We would encourage stockholders to log in to this website and access the webcast before the start time of the Annual Meeting. Information on how to vote directly at the Annual Meeting is discussed below.</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Only stockholders of record at 5:00 p.m. Eastern Time on the Record Date will be entitled to vote at the Annual Meeting. At 5:00 p.m. Eastern Time on the Record Date, there were 29,974,617 shares of common stock outstanding and entitled to vote. A list of registered stockholders entitled to vote at the Annual Meeting will be available at Neuronetics’ principal place of business, 3222 Phoenixville Pike, Malvern, PA 19355 during the ten days prior to the Annual Meeting.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Neuronetics’ transfer agent, Equiniti Trust Company, LLC (formerly American Stock Transfer &amp; Trust Company, LLC), then you are a stockholder of record. As a stockholder of record, you may vote at the Annual Meeting or vote by proxy. Whether or not you plan to attend the Annual Meeting, we urge you to fill out and return the proxy card mailed to you or vote by proxy over the telephone or on the internet as instructed below to ensure that your vote is counted.</w:t>
      </w: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Agent</w:t>
      </w:r>
    </w:p>
    <w:p>
      <w:pPr>
        <w:spacing w:after="0" w:line="119"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 bank or other agent, then you are the beneficial owner of shares held in street name and the Notice is being forwarded to you by that broker, bank or other agent. The broker, bank or other agent holding your account is considered the stockholder of record for purposes of voting at the Annual Meeting. As a beneficial owner, you have the right to direct your broker, bank or other agent regarding how to vote the shares in your account. You are also invited to attend the Annual Meeting. If you would like the ability to vote during the Annual Meeting, please follow the instructions from your broker, bank or other agent.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are four matters scheduled for a vote:</w:t>
      </w:r>
    </w:p>
    <w:p>
      <w:pPr>
        <w:spacing w:after="0" w:line="117"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five directors (“Proposal 1”);</w:t>
      </w:r>
    </w:p>
    <w:p>
      <w:pPr>
        <w:spacing w:after="0" w:line="117"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KPMG LLP (“KPMG”) as the independent registered public accounting firm of the Company for its fiscal year ending December 31, 2024 (“Proposal 2”);</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 non-binding, advisory basis, of the compensation of the individual who served as our principal executive officer during 2023 and our two other most highly compensated executive officers who were serving as executive officers as of December 31, 2023 (our “Named Executive Officers” or “NEOs”) (“Proposal 3”); and</w:t>
      </w:r>
    </w:p>
    <w:p>
      <w:pPr>
        <w:spacing w:after="0" w:line="71"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 non-binding, advisory basis, of the frequency of future stockholder advisory votes on the compensation of our Named Executive Officers (“Proposal 4”).</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Annual Meeting?</w:t>
      </w:r>
    </w:p>
    <w:p>
      <w:pPr>
        <w:spacing w:after="0" w:line="121"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those matters in accordance with their best judgment.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For Proposal 1, you may either vote “For” all of the nominees to the Board of Directors or you may “Withhold” your vote for any nominee that you specify. For Proposal 2 and Proposal 3, you may vote “For” or “Against,” or you may abstain from voting. For Proposal 4, you may vote for “1 Year,” “2 Years,” or “3 Years,” or you may abstain from voting.</w:t>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If you are a stockholder of record, you may vote during the Annual Meeting, vote by proxy over the telephone, vote by proxy through the internet or vote by proxy using a proxy card that you may request or that we may elect to deliver at a later time. Whether or not you plan to attend the Annual Meeting, we urge you to vote by proxy to ensure that your vote is counted. You may still attend and vote during the Annual Meeting even if you have already voted by proxy.</w:t>
      </w:r>
    </w:p>
    <w:p>
      <w:pPr>
        <w:spacing w:after="0" w:line="75" w:lineRule="exact"/>
        <w:rPr>
          <w:sz w:val="20"/>
          <w:szCs w:val="20"/>
          <w:color w:val="auto"/>
        </w:rPr>
      </w:pPr>
    </w:p>
    <w:p>
      <w:pPr>
        <w:ind w:left="1000" w:right="47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during to the Annual Meeting, go to virtualshareholdermeeting.com/STIM2024 to complete an electronic proxy card. You will be asked to provide your Control Number. Any previous votes or proxies that you submitted will be superseded by the vote that you cast at the Annual Meeting.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9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proxy card that may be delivered and return it promptly in the envelope provided with the proxy card. If we receive your signed proxy card by 11:59 p.m., Eastern Time on May 29, 2024, we will vote your shares as you direct.</w:t>
      </w:r>
    </w:p>
    <w:p>
      <w:pPr>
        <w:spacing w:after="0" w:line="67" w:lineRule="exact"/>
        <w:rPr>
          <w:rFonts w:ascii="Times New Roman" w:cs="Times New Roman" w:eastAsia="Times New Roman" w:hAnsi="Times New Roman"/>
          <w:sz w:val="18"/>
          <w:szCs w:val="18"/>
          <w:color w:val="auto"/>
        </w:rPr>
      </w:pPr>
    </w:p>
    <w:p>
      <w:pPr>
        <w:ind w:left="1000" w:right="59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1-800-690-6903 using a touch-tone phone and follow the recorded instructions. You will be asked to provide your Control Number. Your telephone vote must be received by 11:59 p.m., Eastern Time on May 29, 2024 to be counted.</w:t>
      </w:r>
    </w:p>
    <w:p>
      <w:pPr>
        <w:spacing w:after="0" w:line="6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through the internet, go to proxyvote.com to complete an electronic proxy card. You will be asked to provide your Control Number. Your internet vote must be received by 11:59 p.m., Eastern Time on May 29, 2024 to be counted.</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Agent</w:t>
      </w:r>
    </w:p>
    <w:p>
      <w:pPr>
        <w:spacing w:after="0" w:line="11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notice containing voting instructions from that organization rather than from Neuronetics. Simply follow the voting instructions in that notice to ensure that your vote is counted. To vote during the Annual Meeting, you must follow the instructions from your broker, bank or other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38100</wp:posOffset>
            </wp:positionV>
            <wp:extent cx="5344795" cy="843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4795" cy="843915"/>
                    </a:xfrm>
                    <a:prstGeom prst="rect">
                      <a:avLst/>
                    </a:prstGeom>
                    <a:noFill/>
                  </pic:spPr>
                </pic:pic>
              </a:graphicData>
            </a:graphic>
          </wp:anchor>
        </w:drawing>
      </w:r>
    </w:p>
    <w:p>
      <w:pPr>
        <w:spacing w:after="0" w:line="142" w:lineRule="exact"/>
        <w:rPr>
          <w:sz w:val="20"/>
          <w:szCs w:val="20"/>
          <w:color w:val="auto"/>
        </w:rPr>
      </w:pPr>
    </w:p>
    <w:p>
      <w:pPr>
        <w:ind w:left="420" w:right="579"/>
        <w:spacing w:after="0" w:line="259" w:lineRule="auto"/>
        <w:rPr>
          <w:sz w:val="20"/>
          <w:szCs w:val="20"/>
          <w:color w:val="auto"/>
        </w:rPr>
      </w:pPr>
      <w:r>
        <w:rPr>
          <w:rFonts w:ascii="Times New Roman" w:cs="Times New Roman" w:eastAsia="Times New Roman" w:hAnsi="Times New Roman"/>
          <w:sz w:val="18"/>
          <w:szCs w:val="18"/>
          <w:b w:val="1"/>
          <w:bCs w:val="1"/>
          <w:color w:val="auto"/>
        </w:rPr>
        <w:t>Internet proxy voting may be provided to allow you to vote your shares online, with procedures designed to ensure the authenticity and correctness of your proxy vote instructions. However, please be aware that you must bear any costs associated with your computing device and internet access, such as the cost of such device and the software thereon and usage charges from internet access providers and telephone companies.</w:t>
      </w:r>
    </w:p>
    <w:p>
      <w:pPr>
        <w:spacing w:after="0" w:line="200" w:lineRule="exact"/>
        <w:rPr>
          <w:sz w:val="20"/>
          <w:szCs w:val="20"/>
          <w:color w:val="auto"/>
        </w:rPr>
      </w:pP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300" w:right="1399"/>
        <w:spacing w:after="0" w:line="282"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owned as of 5:00 p.m. Eastern Time on the Record Date.</w:t>
      </w:r>
    </w:p>
    <w:p>
      <w:pPr>
        <w:spacing w:after="0" w:line="306"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5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by the relevant deadline or during the Annual Meeting, your shares will not be voted.</w:t>
      </w:r>
    </w:p>
    <w:p>
      <w:pPr>
        <w:spacing w:after="0" w:line="54"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Proposal 1, Proposal 2, and Proposal 3, and for “1 Year” on Proposal 4. If any other matter is properly presented at the Annual Meeting, your proxyholder (one of the individuals named on your proxy card) will vote your shares using his or her best judgment.</w:t>
      </w:r>
    </w:p>
    <w:p>
      <w:pPr>
        <w:spacing w:after="0" w:line="311" w:lineRule="exact"/>
        <w:rPr>
          <w:sz w:val="20"/>
          <w:szCs w:val="20"/>
          <w:color w:val="auto"/>
        </w:rPr>
      </w:pPr>
    </w:p>
    <w:p>
      <w:pPr>
        <w:ind w:left="300" w:right="459"/>
        <w:spacing w:after="0" w:line="286"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bank or other agent with voting instructions, what happens?</w:t>
      </w:r>
    </w:p>
    <w:p>
      <w:pPr>
        <w:spacing w:after="0" w:line="5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with respect to Proposal 2. Your broker, bank or other agent cannot vote on Proposal 1, Proposal 3, or Proposal 4 without your instruction. To ensure that your shares are voted in the way that you would prefer, you must provide voting instructions to your broker, bank or other agent by the deadline provided in the materials that you receive from your broker, bank or other agent.</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300" w:right="679"/>
        <w:spacing w:after="0" w:line="261"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brokers, banks and other agents for the cost of forwarding proxy materials to beneficial owners.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copy of the Notice?</w:t>
      </w:r>
    </w:p>
    <w:p>
      <w:pPr>
        <w:spacing w:after="0" w:line="121" w:lineRule="exact"/>
        <w:rPr>
          <w:sz w:val="20"/>
          <w:szCs w:val="20"/>
          <w:color w:val="auto"/>
        </w:rPr>
      </w:pPr>
    </w:p>
    <w:p>
      <w:pPr>
        <w:jc w:val="both"/>
        <w:ind w:left="300" w:right="599"/>
        <w:spacing w:after="0" w:line="266" w:lineRule="auto"/>
        <w:rPr>
          <w:sz w:val="20"/>
          <w:szCs w:val="20"/>
          <w:color w:val="auto"/>
        </w:rPr>
      </w:pPr>
      <w:r>
        <w:rPr>
          <w:rFonts w:ascii="Times New Roman" w:cs="Times New Roman" w:eastAsia="Times New Roman" w:hAnsi="Times New Roman"/>
          <w:sz w:val="18"/>
          <w:szCs w:val="18"/>
          <w:color w:val="auto"/>
        </w:rPr>
        <w:t>If you receive more than one copy of the Notice, then your shares may be registered in more than one name or in different accounts. Please follow the voting instructions on all of the Notices to ensure that all of your shares are voted.</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 after submitting my proxy?</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the following ways:</w:t>
      </w:r>
    </w:p>
    <w:p>
      <w:pPr>
        <w:spacing w:after="0" w:line="54"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timely and properly completed proxy card with a later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timely proxy by telephone or through the internet.</w:t>
      </w:r>
    </w:p>
    <w:p>
      <w:pPr>
        <w:spacing w:after="0" w:line="117" w:lineRule="exact"/>
        <w:rPr>
          <w:rFonts w:ascii="Times New Roman" w:cs="Times New Roman" w:eastAsia="Times New Roman" w:hAnsi="Times New Roman"/>
          <w:sz w:val="18"/>
          <w:szCs w:val="18"/>
          <w:color w:val="auto"/>
        </w:rPr>
      </w:pPr>
    </w:p>
    <w:p>
      <w:pPr>
        <w:ind w:left="1000" w:right="1399" w:hanging="348"/>
        <w:spacing w:after="0" w:line="312" w:lineRule="auto"/>
        <w:tabs>
          <w:tab w:leader="none" w:pos="10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send a timely written notice that you are revoking your proxy to Neuronetics, Inc., 3222 Phoenixville Pike, Malvern, Pennsylvania 19355, Attention: Corporate Secretary.</w:t>
      </w:r>
    </w:p>
    <w:p>
      <w:pPr>
        <w:spacing w:after="0" w:line="31" w:lineRule="exact"/>
        <w:rPr>
          <w:rFonts w:ascii="Times New Roman" w:cs="Times New Roman" w:eastAsia="Times New Roman" w:hAnsi="Times New Roman"/>
          <w:sz w:val="17"/>
          <w:szCs w:val="17"/>
          <w:color w:val="auto"/>
        </w:rPr>
      </w:pPr>
    </w:p>
    <w:p>
      <w:pPr>
        <w:jc w:val="both"/>
        <w:ind w:left="1000" w:right="49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and vote during the Annual Meeting. Simply attending the Annual Meeting will not, by itself, revoke your proxy. If you plan to revoke your proxy by voting your shares at the Annual Meeting, see the instructions set forth in the section entitled “How do I vote?”</w:t>
      </w:r>
    </w:p>
    <w:p>
      <w:pPr>
        <w:spacing w:after="0" w:line="68" w:lineRule="exact"/>
        <w:rPr>
          <w:sz w:val="20"/>
          <w:szCs w:val="20"/>
          <w:color w:val="auto"/>
        </w:rPr>
      </w:pPr>
    </w:p>
    <w:p>
      <w:pPr>
        <w:jc w:val="both"/>
        <w:ind w:left="300" w:right="859"/>
        <w:spacing w:after="0" w:line="312" w:lineRule="auto"/>
        <w:rPr>
          <w:sz w:val="20"/>
          <w:szCs w:val="20"/>
          <w:color w:val="auto"/>
        </w:rPr>
      </w:pPr>
      <w:r>
        <w:rPr>
          <w:rFonts w:ascii="Times New Roman" w:cs="Times New Roman" w:eastAsia="Times New Roman" w:hAnsi="Times New Roman"/>
          <w:sz w:val="17"/>
          <w:szCs w:val="17"/>
          <w:color w:val="auto"/>
        </w:rPr>
        <w:t>Your most current proxy card or telephone or internet proxy received by the Company prior to the applicable deadline is the one that is counted. Voting at the Annual Meeting will supersede any prior votes that you cast.</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Agent</w:t>
      </w:r>
    </w:p>
    <w:p>
      <w:pPr>
        <w:spacing w:after="0" w:line="119" w:lineRule="exact"/>
        <w:rPr>
          <w:sz w:val="20"/>
          <w:szCs w:val="20"/>
          <w:color w:val="auto"/>
        </w:rPr>
      </w:pPr>
    </w:p>
    <w:p>
      <w:pPr>
        <w:ind w:left="300" w:right="699"/>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21"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in proper form pursuant to Rule 14a-8 of the Securities Exchange Act of 1934, as amended (the “Exchange Act”) and received in writing by December 12, 2024 (assuming an April 11, 2024 mailing date of these proxy materials) at Neuronetics, Inc., 3222 Phoenixville Pike, Malvern, Pennsylvania 19355, Attention: Corporate Secretary. If you wish to submit a proposal (including a director nomination) at our 2025 annual meeting of stockholders that is not to be included in next year’s proxy materials, you must provide the information specified in our bylaws in writing to the address above no earlier than the close of business on January 30, 2025, nor later than the close of business on March 1, 2025; provided, however, that if our 2025 annual meeting of stockholders is held before April 30, 2025 or after June 29, 2025, then notice by the stockholder must be received no earlier than the close of business on the 120th day prior to such annual meeting and not later than the close of business on the 90th day prior to such annual meeting or the tenth 10th day following the day on which public announcement of the date of such meeting is first made in order for such notice to be timely.</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300" w:right="399"/>
        <w:spacing w:after="0" w:line="281" w:lineRule="auto"/>
        <w:rPr>
          <w:sz w:val="20"/>
          <w:szCs w:val="20"/>
          <w:color w:val="auto"/>
        </w:rPr>
      </w:pPr>
      <w:r>
        <w:rPr>
          <w:rFonts w:ascii="Times New Roman" w:cs="Times New Roman" w:eastAsia="Times New Roman" w:hAnsi="Times New Roman"/>
          <w:sz w:val="17"/>
          <w:szCs w:val="17"/>
          <w:color w:val="auto"/>
        </w:rPr>
        <w:t>Votes will be counted by the inspector of election appointed for the Annual Meeting, who will separately count: for Proposal 1, votes “For” and “Withhold” and broker non-votes; for Proposal 2, votes “For” and “Against,” abstentions, and, if applicable, broker non-votes; for Proposal 3, votes “For” and “Against,” abstentions, and broker non-votes; and for Proposal 4, votes for “1 Year,” “2 Years,” and “3 Years,” abstentions, and broker non-votes.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When a beneficial owner of shares held in street name does not give instructions to his or her broker, bank or other agent holding the shares as to how to vote on a non-routine matter, the broker, bank or other agent cannot vote the shares. These unvoted shares are counted as broker non-votes. Proposal 2 is considered routine and, therefore, we do not expect broker non-votes in connection with that proposal.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As a reminder, if you are a beneficial owner of shares held in street name, to ensure that your shares are voted in the way you would prefer, you must provide voting instructions to your broker, bank or other agent holding the shares by the deadline provided in the materials that you receive from your broker, bank or other agent.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jc w:val="both"/>
        <w:ind w:left="300" w:right="579"/>
        <w:spacing w:after="0" w:line="266" w:lineRule="auto"/>
        <w:rPr>
          <w:sz w:val="20"/>
          <w:szCs w:val="20"/>
          <w:color w:val="auto"/>
        </w:rPr>
      </w:pPr>
      <w:r>
        <w:rPr>
          <w:rFonts w:ascii="Times New Roman" w:cs="Times New Roman" w:eastAsia="Times New Roman" w:hAnsi="Times New Roman"/>
          <w:sz w:val="18"/>
          <w:szCs w:val="18"/>
          <w:color w:val="auto"/>
        </w:rPr>
        <w:t>On each proposal and director to be voted upon, stockholders have one vote for each share of our common stock owned as of the Record Date. Votes will be counted by the inspector of election. The following table summarizes vote requirements and the effect of abstentions and broker non-votes:</w:t>
      </w:r>
    </w:p>
    <w:p>
      <w:pPr>
        <w:sectPr>
          <w:pgSz w:w="11900" w:h="16838" w:orient="portrait"/>
          <w:cols w:equalWidth="0" w:num="1">
            <w:col w:w="9019"/>
          </w:cols>
          <w:pgMar w:left="1440" w:top="263" w:right="1440" w:bottom="1440" w:gutter="0" w:footer="0" w:header="0"/>
        </w:sectPr>
      </w:pPr>
    </w:p>
    <w:p>
      <w:pPr>
        <w:spacing w:after="0" w:line="34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16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0" w:type="dxa"/>
            <w:vAlign w:val="bottom"/>
          </w:tcPr>
          <w:p>
            <w:pPr>
              <w:spacing w:after="0"/>
              <w:rPr>
                <w:sz w:val="1"/>
                <w:szCs w:val="1"/>
                <w:color w:val="auto"/>
              </w:rPr>
            </w:pPr>
          </w:p>
        </w:tc>
      </w:tr>
      <w:tr>
        <w:trPr>
          <w:trHeight w:val="190"/>
        </w:trPr>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18345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93" w:lineRule="exact"/>
        <w:rPr>
          <w:sz w:val="20"/>
          <w:szCs w:val="20"/>
          <w:color w:val="auto"/>
        </w:rPr>
      </w:pPr>
    </w:p>
    <w:p>
      <w:pPr>
        <w:ind w:left="1000" w:hanging="708"/>
        <w:spacing w:after="0" w:line="254"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to the Board of Directors of the following five nominees presented by the Board: Robert A. Cascella, Sheryl L. Conley, Glenn P. Muir, Megan Rosengarten, and Keith J. Sullivan.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Vote Required for</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6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 Broker</w:t>
            </w:r>
          </w:p>
        </w:tc>
        <w:tc>
          <w:tcPr>
            <w:tcW w:w="0" w:type="dxa"/>
            <w:vAlign w:val="bottom"/>
          </w:tcPr>
          <w:p>
            <w:pPr>
              <w:spacing w:after="0"/>
              <w:rPr>
                <w:sz w:val="1"/>
                <w:szCs w:val="1"/>
                <w:color w:val="auto"/>
              </w:rPr>
            </w:pPr>
          </w:p>
        </w:tc>
      </w:tr>
      <w:tr>
        <w:trPr>
          <w:trHeight w:val="148"/>
        </w:trPr>
        <w:tc>
          <w:tcPr>
            <w:tcW w:w="2360" w:type="dxa"/>
            <w:vAlign w:val="bottom"/>
            <w:gridSpan w:val="2"/>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Withheld Votes</w:t>
            </w:r>
          </w:p>
        </w:tc>
        <w:tc>
          <w:tcPr>
            <w:tcW w:w="16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36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Abstentions</w:t>
            </w:r>
          </w:p>
        </w:tc>
        <w:tc>
          <w:tcPr>
            <w:tcW w:w="1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50"/>
        </w:trPr>
        <w:tc>
          <w:tcPr>
            <w:tcW w:w="21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Nominees receiving the most</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Withheld votes</w:t>
            </w: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votes will be elected as</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have no effect.</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will be elected by a</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plurality of the votes cast at</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Annual Meeting by the</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holders of shares present in</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 or represented by</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and entitled to vote on</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election of directors.</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40" w:space="300"/>
            <w:col w:w="5679"/>
          </w:cols>
          <w:pgMar w:left="1440" w:top="263" w:right="1440" w:bottom="1440" w:gutter="0" w:footer="0" w:header="0"/>
          <w:type w:val="continuous"/>
        </w:sectPr>
      </w:pPr>
    </w:p>
    <w:p>
      <w:pPr>
        <w:spacing w:after="0" w:line="214" w:lineRule="exact"/>
        <w:rPr>
          <w:sz w:val="20"/>
          <w:szCs w:val="20"/>
          <w:color w:val="auto"/>
        </w:rPr>
      </w:pPr>
    </w:p>
    <w:p>
      <w:pPr>
        <w:ind w:left="1000" w:hanging="708"/>
        <w:spacing w:after="0" w:line="258"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selection of KPMG as our independent registered public accounting firm for the year ending December 31, 2024.</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“For” votes from the holders</w:t>
            </w:r>
          </w:p>
        </w:tc>
        <w:tc>
          <w:tcPr>
            <w:tcW w:w="1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Abstentions have</w:t>
            </w:r>
          </w:p>
        </w:tc>
        <w:tc>
          <w:tcPr>
            <w:tcW w:w="1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 applicable. We</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of a majority of shares present</w:t>
            </w:r>
          </w:p>
        </w:tc>
        <w:tc>
          <w:tcPr>
            <w:tcW w:w="1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effect of votes</w:t>
            </w:r>
          </w:p>
        </w:tc>
        <w:tc>
          <w:tcPr>
            <w:tcW w:w="1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 not expect any</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in person or represented by</w:t>
            </w:r>
          </w:p>
        </w:tc>
        <w:tc>
          <w:tcPr>
            <w:tcW w:w="1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against the</w:t>
            </w:r>
          </w:p>
        </w:tc>
        <w:tc>
          <w:tcPr>
            <w:tcW w:w="15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broker non-votes on</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proxy and entitled to vote on</w:t>
            </w:r>
          </w:p>
        </w:tc>
        <w:tc>
          <w:tcPr>
            <w:tcW w:w="1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proposal.</w:t>
            </w:r>
          </w:p>
        </w:tc>
        <w:tc>
          <w:tcPr>
            <w:tcW w:w="1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this proposal.</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the matter.</w:t>
            </w:r>
          </w:p>
        </w:tc>
        <w:tc>
          <w:tcPr>
            <w:tcW w:w="148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214" w:lineRule="exact"/>
        <w:rPr>
          <w:sz w:val="20"/>
          <w:szCs w:val="20"/>
          <w:color w:val="auto"/>
        </w:rPr>
      </w:pPr>
    </w:p>
    <w:p>
      <w:pPr>
        <w:sectPr>
          <w:pgSz w:w="11900" w:h="16838" w:orient="portrait"/>
          <w:cols w:equalWidth="0" w:num="2">
            <w:col w:w="3040" w:space="300"/>
            <w:col w:w="5679"/>
          </w:cols>
          <w:pgMar w:left="1440" w:top="263" w:right="1440" w:bottom="1440" w:gutter="0" w:footer="0" w:header="0"/>
          <w:type w:val="continuous"/>
        </w:sectPr>
      </w:pPr>
    </w:p>
    <w:p>
      <w:pPr>
        <w:spacing w:after="0" w:line="199" w:lineRule="exact"/>
        <w:rPr>
          <w:sz w:val="20"/>
          <w:szCs w:val="20"/>
          <w:color w:val="auto"/>
        </w:rPr>
      </w:pPr>
    </w:p>
    <w:p>
      <w:pPr>
        <w:ind w:left="1000" w:hanging="708"/>
        <w:spacing w:after="0" w:line="261"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 non-binding, advisory basis, of the compensation of our Named Executive Officers.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tabs>
          <w:tab w:leader="none" w:pos="2340" w:val="left"/>
          <w:tab w:leader="none" w:pos="3800" w:val="left"/>
        </w:tabs>
        <w:rPr>
          <w:sz w:val="20"/>
          <w:szCs w:val="20"/>
          <w:color w:val="auto"/>
        </w:rPr>
      </w:pPr>
      <w:r>
        <w:rPr>
          <w:rFonts w:ascii="Times New Roman" w:cs="Times New Roman" w:eastAsia="Times New Roman" w:hAnsi="Times New Roman"/>
          <w:sz w:val="18"/>
          <w:szCs w:val="18"/>
          <w:color w:val="auto"/>
        </w:rPr>
        <w:t>“For” votes, on a non-</w:t>
      </w:r>
      <w:r>
        <w:rPr>
          <w:sz w:val="20"/>
          <w:szCs w:val="20"/>
          <w:color w:val="auto"/>
        </w:rPr>
        <w:tab/>
      </w:r>
      <w:r>
        <w:rPr>
          <w:rFonts w:ascii="Times New Roman" w:cs="Times New Roman" w:eastAsia="Times New Roman" w:hAnsi="Times New Roman"/>
          <w:sz w:val="18"/>
          <w:szCs w:val="18"/>
          <w:color w:val="auto"/>
        </w:rPr>
        <w:t>Abstentions have</w:t>
        <w:tab/>
        <w:t>None.</w:t>
      </w:r>
    </w:p>
    <w:p>
      <w:pPr>
        <w:spacing w:after="0" w:line="27" w:lineRule="exact"/>
        <w:rPr>
          <w:sz w:val="20"/>
          <w:szCs w:val="20"/>
          <w:color w:val="auto"/>
        </w:rPr>
      </w:pPr>
    </w:p>
    <w:p>
      <w:pPr>
        <w:ind w:right="2659"/>
        <w:spacing w:after="0" w:line="253" w:lineRule="auto"/>
        <w:rPr>
          <w:sz w:val="20"/>
          <w:szCs w:val="20"/>
          <w:color w:val="auto"/>
        </w:rPr>
      </w:pPr>
      <w:r>
        <w:rPr>
          <w:rFonts w:ascii="Times New Roman" w:cs="Times New Roman" w:eastAsia="Times New Roman" w:hAnsi="Times New Roman"/>
          <w:sz w:val="18"/>
          <w:szCs w:val="18"/>
          <w:color w:val="auto"/>
        </w:rPr>
        <w:t>binding, advisory basis, from no effect. the holders of a majority of shares present in person or represented by proxy and entitled to vote on the matter.</w:t>
      </w:r>
    </w:p>
    <w:p>
      <w:pPr>
        <w:spacing w:after="0" w:line="200" w:lineRule="exact"/>
        <w:rPr>
          <w:sz w:val="20"/>
          <w:szCs w:val="20"/>
          <w:color w:val="auto"/>
        </w:rPr>
      </w:pPr>
    </w:p>
    <w:p>
      <w:pPr>
        <w:sectPr>
          <w:pgSz w:w="11900" w:h="16838" w:orient="portrait"/>
          <w:cols w:equalWidth="0" w:num="2">
            <w:col w:w="3060" w:space="280"/>
            <w:col w:w="5679"/>
          </w:cols>
          <w:pgMar w:left="1440" w:top="263"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1000" w:hanging="708"/>
        <w:spacing w:after="0" w:line="25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 non-binding, advisory basis, of the frequency of future stockholder advisory votes on the compensation of our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2340" w:val="left"/>
          <w:tab w:leader="none" w:pos="3800" w:val="left"/>
        </w:tabs>
        <w:rPr>
          <w:sz w:val="20"/>
          <w:szCs w:val="20"/>
          <w:color w:val="auto"/>
        </w:rPr>
      </w:pPr>
      <w:r>
        <w:rPr>
          <w:rFonts w:ascii="Times New Roman" w:cs="Times New Roman" w:eastAsia="Times New Roman" w:hAnsi="Times New Roman"/>
          <w:sz w:val="18"/>
          <w:szCs w:val="18"/>
          <w:color w:val="auto"/>
        </w:rPr>
        <w:t>Among the options of</w:t>
      </w:r>
      <w:r>
        <w:rPr>
          <w:sz w:val="20"/>
          <w:szCs w:val="20"/>
          <w:color w:val="auto"/>
        </w:rPr>
        <w:tab/>
      </w:r>
      <w:r>
        <w:rPr>
          <w:rFonts w:ascii="Times New Roman" w:cs="Times New Roman" w:eastAsia="Times New Roman" w:hAnsi="Times New Roman"/>
          <w:sz w:val="18"/>
          <w:szCs w:val="18"/>
          <w:color w:val="auto"/>
        </w:rPr>
        <w:t>Abstentions have</w:t>
        <w:tab/>
        <w:t>None.</w:t>
      </w:r>
    </w:p>
    <w:p>
      <w:pPr>
        <w:spacing w:after="0" w:line="27"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18"/>
          <w:szCs w:val="18"/>
          <w:color w:val="auto"/>
        </w:rPr>
        <w:t>“1 Year,” “2 Years,” or</w:t>
      </w:r>
      <w:r>
        <w:rPr>
          <w:sz w:val="20"/>
          <w:szCs w:val="20"/>
          <w:color w:val="auto"/>
        </w:rPr>
        <w:tab/>
      </w:r>
      <w:r>
        <w:rPr>
          <w:rFonts w:ascii="Times New Roman" w:cs="Times New Roman" w:eastAsia="Times New Roman" w:hAnsi="Times New Roman"/>
          <w:sz w:val="17"/>
          <w:szCs w:val="17"/>
          <w:color w:val="auto"/>
        </w:rPr>
        <w:t>no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Years” the frequency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receiving the most votes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approved on a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binding, advisory basis.</w:t>
      </w:r>
    </w:p>
    <w:p>
      <w:pPr>
        <w:spacing w:after="0" w:line="219" w:lineRule="exact"/>
        <w:rPr>
          <w:sz w:val="20"/>
          <w:szCs w:val="20"/>
          <w:color w:val="auto"/>
        </w:rPr>
      </w:pPr>
    </w:p>
    <w:p>
      <w:pPr>
        <w:sectPr>
          <w:pgSz w:w="11900" w:h="16838" w:orient="portrait"/>
          <w:cols w:equalWidth="0" w:num="2">
            <w:col w:w="3160" w:space="180"/>
            <w:col w:w="5679"/>
          </w:cols>
          <w:pgMar w:left="1440" w:top="263" w:right="1440" w:bottom="1440" w:gutter="0" w:footer="0" w:header="0"/>
          <w:type w:val="continuous"/>
        </w:sectPr>
      </w:pPr>
    </w:p>
    <w:p>
      <w:pPr>
        <w:spacing w:after="0" w:line="1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recommends that you vote:</w:t>
      </w:r>
    </w:p>
    <w:p>
      <w:pPr>
        <w:spacing w:after="0" w:line="117"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director nominee in Proposal 1;</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2;</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3;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Year” for Proposal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143510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our then-outstanding shares of common stock entitled to vote are present at the Annual Meeting or represented by proxy. At 5:00 p.m. Eastern Time on the Record Date, there were 29,974,617 shares issued and outstanding and entitled to vote.</w:t>
      </w:r>
    </w:p>
    <w:p>
      <w:pPr>
        <w:spacing w:after="0" w:line="72"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agent) or if you vote at the Annual Meeting. If there is no quorum, the holders of a majority of shares present at the Annual Meeting or represented by proxy may adjourn the Annual Meeting to another date.</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 the SEC within four business days after the Annual Meeting. If final voting results are not available to us in time to file a Form 8-K within four business days after the Annual Meeting, then we intend to file a Form 8-K to publish preliminary results and, within four business days after the final results are known to us, file an additional Form 8-K to publish the final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1 -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currently consists of eight directors: John K. Bakewell, Joseph H. Capper, Robert A. Cascella, Sheryl L.</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Conley, Wilfred E. Jaeger, M.D., Glenn P. Muir, Megan Rosengarten, and Keith J. Sullivan.</w:t>
      </w:r>
    </w:p>
    <w:p>
      <w:pPr>
        <w:spacing w:after="0" w:line="9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On March 25, 2024, based on a recent analysis of similarly situated companies, feedback from our stockholders, and other considerations, the Board determined that it would reduce the number of directors serving on the Board from eight to five effective immediately after the Annual Meeting. Following that determination, Messrs. Bakewell and Capper and Dr. Jaeger advised the Company that they would not stand for reelection to the Board at the Annual Meeting. Their service on the Board and the Board’s committees will end at the conclusion of the Annual Meeting.</w:t>
      </w:r>
    </w:p>
    <w:p>
      <w:pPr>
        <w:spacing w:after="0" w:line="75"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As such, five of our current directors have been nominated to serve as a director this year. Each director to be elected and qualified will hold office until our next annual meeting of stockholders and until his or her successor is elected, or, if sooner, until the director’s death, resignation, or removal.</w:t>
      </w:r>
    </w:p>
    <w:p>
      <w:pPr>
        <w:spacing w:after="0" w:line="68"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in person or represented by proxy and entitled to vote on the election of directors. Accordingly, the five nominees receiving the highest number of affirmative votes will be elected. Shares represented by executed proxies will be voted, if authority to do so is not withheld, for the election of the five nominees named below. If any nominee becomes unavailable for election as a result of an unexpected occurrence, your shares will be voted for the election of a substitute nominee proposed by Neuronetics. Each person nominated for election has agreed to serve if elected. The Company’s management has no reason to believe that any nominee will be unable to serve.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ind w:left="300" w:right="539"/>
        <w:spacing w:after="0" w:line="289" w:lineRule="auto"/>
        <w:rPr>
          <w:sz w:val="20"/>
          <w:szCs w:val="20"/>
          <w:color w:val="auto"/>
        </w:rPr>
      </w:pPr>
      <w:r>
        <w:rPr>
          <w:rFonts w:ascii="Times New Roman" w:cs="Times New Roman" w:eastAsia="Times New Roman" w:hAnsi="Times New Roman"/>
          <w:sz w:val="17"/>
          <w:szCs w:val="17"/>
          <w:color w:val="auto"/>
        </w:rPr>
        <w:t>The following is a brief biography of each nominee for director and a discussion of the specific experience, qualifications, attributes or skills of each nominee that led the Company’s Nominating and Corporate Governance Committee to recommend that person as a nominee for director, as of the date of this proxy statement.</w:t>
      </w:r>
    </w:p>
    <w:p>
      <w:pPr>
        <w:spacing w:after="0" w:line="46"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A. Cascella, </w:t>
      </w:r>
      <w:r>
        <w:rPr>
          <w:rFonts w:ascii="Times New Roman" w:cs="Times New Roman" w:eastAsia="Times New Roman" w:hAnsi="Times New Roman"/>
          <w:sz w:val="18"/>
          <w:szCs w:val="18"/>
          <w:color w:val="auto"/>
        </w:rPr>
        <w:t>age 69, has served as a member of the Board since April 2021. Over more than 30 years,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Cascella has supported value creation in the healthcare industry, with a strong focus on innovation and integrated solutions. Mr. Cascella retired from Philips on December 31, 2021, after working for the company since 2015. The last position he held before retiring was Executive Vice President and Strategic Business Development Leader and was also a member of the company’s Executive Committee. Prior to that role, Mr. Cascella was the CEO for the Precision Diagnosis Segment, responsible for the integration of smart systems, software, informatics and services dedicated to delivering on the promise of precision medicine. Prior to that role, Mr. Cascella was the CEO of the Diagnosis and Treatment Segment, where he was responsible for the development and growth of modality-based diagnostics and interventional treatment and therapy. Before joining Philips, Mr. Cascella spent 11 years at Hologic, a global leader in Women’s Health, as its president, and later, its CEO. Under his leadership, Hologic broadly diversified its product portfolio and substantially grew revenues through a combination of innovative product development and acquisition, as well as the building of strong customer relationships. Mr. Cascella serves as a board director for Celestica (NYSE: CLS), Mirion Technologies (NYSE: MIR) and Koru Medical Systems (Nasdaq: KRMD). He is also a NACD certified director. Mr. Cascella holds a Bachelor of Arts in accounting from Fairfield University. The Board believes Mr. Cascella’s financial and managerial experience as CEO of a publicly traded medical technology company, as well as his experience serving on the board of directors of other companies qualifies him to serve as a director on the Board.</w:t>
      </w:r>
    </w:p>
    <w:p>
      <w:pPr>
        <w:spacing w:after="0" w:line="85"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Sheryl L. Conley, </w:t>
      </w:r>
      <w:r>
        <w:rPr>
          <w:rFonts w:ascii="Times New Roman" w:cs="Times New Roman" w:eastAsia="Times New Roman" w:hAnsi="Times New Roman"/>
          <w:sz w:val="18"/>
          <w:szCs w:val="18"/>
          <w:color w:val="auto"/>
        </w:rPr>
        <w:t>age 63, has served as a member of the Board since October 2019. Ms. Conley is a 35-year veteran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orthopedic medical device industry with expertise and executive leadership experience in running full P&amp;L business segments, global brand management, marketing, sales, product development, and operations. Ms. Conley currently serves as an independent Board Director for Anika Therapeutics, Inc. and is a member of the Audit and Compensation Committees (May 2021—present). She previously served as an independent Board Director and Board Chair for Surgalign, Inc. and as a member of the Audit Committee (May 2021–October 2023). In addition to her public Board Director positions, Ms. Conley served as an independent Board Director for Keystone Dental, Inc a privately held company and was a member of the Audit Committee (February 2022–December 2023). Previously, Ms. Conley was President and Board Member of AcceLINX, Inc., a musculoskeletal health business accelerator from (March 2017 - December 2022). From September 2012 to May 2017, Ms. Conley was President &amp; CEO of OrthoWorx, Inc., a community-based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initiative that works strategically and collaboratively with the orthopedic industry and other stakeholders. Prior to her role as the President and CEO of OrthoWorx, Ms. Conley spent 25 years with Zimmer, Inc. in a number of escalating executive leadership roles across a variety of product segments and geographies, during which she provided key leadership in the development and commercial release of over 50 industry leading brands, including as Group President, Americas and Global Brand Management, and Chief Marketing Officer from December 2005 until May 2008. Ms. Conley holds a Bachelor of Science (Biology and Chemistry) and an MBA from Ball State University. The Board believes that Ms. Conley’s business expertise in the medical device industry, executive leadership and experience in operations and international markets qualifies her to serve as a director on the Board.</w:t>
      </w:r>
    </w:p>
    <w:p>
      <w:pPr>
        <w:spacing w:after="0" w:line="80" w:lineRule="exact"/>
        <w:rPr>
          <w:sz w:val="20"/>
          <w:szCs w:val="20"/>
          <w:color w:val="auto"/>
        </w:rPr>
      </w:pPr>
    </w:p>
    <w:p>
      <w:pPr>
        <w:ind w:left="300" w:right="33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Glenn P. Muir, </w:t>
      </w:r>
      <w:r>
        <w:rPr>
          <w:rFonts w:ascii="Times New Roman" w:cs="Times New Roman" w:eastAsia="Times New Roman" w:hAnsi="Times New Roman"/>
          <w:sz w:val="17"/>
          <w:szCs w:val="17"/>
          <w:color w:val="auto"/>
        </w:rPr>
        <w:t>age 65, has served as a member of the Board since July 2017. From 1992 until 2014 when he retired,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Muir was the Chief Financial Officer at Hologic, Inc., a publicly traded manufacturer and supplier of medical products. He served as Hologic’s Executive Vice President of Finance &amp; Administration from 2000 to 2014, as Vice President of Finance &amp; Administration from 1992 to 2000, and as Controller from 1988 to 1992. Mr. Muir served as a Director of Hologic from 2001 to 2013. Mr. Muir served as Chief Financial Officer and Vice President of Finance</w:t>
      </w:r>
    </w:p>
    <w:p>
      <w:pPr>
        <w:spacing w:after="0" w:line="3" w:lineRule="exact"/>
        <w:rPr>
          <w:sz w:val="20"/>
          <w:szCs w:val="20"/>
          <w:color w:val="auto"/>
        </w:rPr>
      </w:pPr>
    </w:p>
    <w:p>
      <w:pPr>
        <w:ind w:left="300" w:right="319" w:hanging="8"/>
        <w:spacing w:after="0" w:line="251" w:lineRule="auto"/>
        <w:tabs>
          <w:tab w:leader="none" w:pos="4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at Metallon Engineered Materials Corp. from 1986 to 1988. He served as a Senior Auditor with Arthur Andersen &amp; Co. from 1981 to 1984. Mr. Muir has been a Director of two publicly traded life science and biotechnology companies, Repligen Corporation and G1 Therapeutics, Inc., since 2015. He served as an Independent Director at ReWalk Robotics Ltd. and RainDance Technologies, Inc., both from 2014 to 2017. Mr. Muir earned his bachelor’s degree in accounting from the University of Massachusetts in Amherst, his M.B.A. from the Harvard Business School, and his M. Sc. in taxation from Bentley College Graduate School of Business. He is a certified public accountant (inactive since 2022). The Board believes Mr. Muir’s leadership and management experience with medical product companies and financial expertise qualifies him to serve as a director on the Board.</w:t>
      </w:r>
    </w:p>
    <w:p>
      <w:pPr>
        <w:spacing w:after="0" w:line="82"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Megan Rosengarten, </w:t>
      </w:r>
      <w:r>
        <w:rPr>
          <w:rFonts w:ascii="Times New Roman" w:cs="Times New Roman" w:eastAsia="Times New Roman" w:hAnsi="Times New Roman"/>
          <w:sz w:val="18"/>
          <w:szCs w:val="18"/>
          <w:color w:val="auto"/>
        </w:rPr>
        <w:t>age 47, has served as a member of the Board since August 2021. Ms. Rosengarten is a proven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leader known for identifying and championing disruptive technologies in the healthcare space, as well as for commercializing new insights and opportunities. She served as President of the Surgical Robotics business of Medtronic, a $20B+ medical device company, from 2018 to 2022. There she built and launched a new robotics Global Operating Unit and acquired and successfully integrated a UK-based surgical artificial intelligence start-up, Digital Surgery. From 2014 to 2018, Ms. Rosengarten was VP, Global Marketing, for Hologic’s $1B Breast and Skeletal Health Division where she served a key role in the company’s turnaround by defining global strategies and executing on opportunities to accelerate growth through innovation. Prior to joining Hologic, Ms. Rosengarten worked at Covidien from 2008 to 2014 where she helped to found the Robotics incubator to which she later returned to lead and commercialize. Prior to joining Covidien, she led marketing efforts for contact lens and consumer healthcare brands at Johnson &amp; Johnson. Throughout her career, Ms. Rosengarten has received honors, including the 2021 Connecticut Woman of Innovation award, the 2021 Global Inclusion, Diversity and Equity award, the Hologic President’s Circle of Excellence award, and the Covidien President’s Award for excellence in innovation and leadership. She has also served on the board of BioCT, an organization dedicated to advancing the bioscience industry in Connecticut and as a director of Digital Surgery post-acquisition by Medtronic. In January 2023,</w:t>
      </w:r>
    </w:p>
    <w:p>
      <w:pPr>
        <w:spacing w:after="0" w:line="2" w:lineRule="exact"/>
        <w:rPr>
          <w:sz w:val="20"/>
          <w:szCs w:val="20"/>
          <w:color w:val="auto"/>
        </w:rPr>
      </w:pPr>
    </w:p>
    <w:p>
      <w:pPr>
        <w:ind w:left="300" w:right="559"/>
        <w:spacing w:after="0" w:line="251" w:lineRule="auto"/>
        <w:rPr>
          <w:sz w:val="20"/>
          <w:szCs w:val="20"/>
          <w:color w:val="auto"/>
        </w:rPr>
      </w:pPr>
      <w:r>
        <w:rPr>
          <w:rFonts w:ascii="Times New Roman" w:cs="Times New Roman" w:eastAsia="Times New Roman" w:hAnsi="Times New Roman"/>
          <w:sz w:val="18"/>
          <w:szCs w:val="18"/>
          <w:color w:val="auto"/>
        </w:rPr>
        <w:t>Ms. Rosengarten joined the Board of Directors of KoKo Medical (formerly Early Bird Medical, Inc.), a medical device startup committed to saving the lives of mothers by developing innovative products that allow for rapid postpartum hemorrhage intervention. In April 2023, she joined the board of BioCoat, specialists in hydrophilic coatings and related equipment and services for medical devices. Ms. Rosengarten earned her MBA from Kenan-Flagler Business School at the University of North Carolina, with concentrations in marketing and international business, and her B.S. in Biological Anthropology and Anatomy from Duke University. The Board believes Ms. Rosengarten’s management experience with medical product companies and expertise commercializing and marketing medical devices qualifies her to serve as a director on the Board.</w:t>
      </w:r>
    </w:p>
    <w:p>
      <w:pPr>
        <w:spacing w:after="0" w:line="82" w:lineRule="exact"/>
        <w:rPr>
          <w:sz w:val="20"/>
          <w:szCs w:val="20"/>
          <w:color w:val="auto"/>
        </w:rPr>
      </w:pPr>
    </w:p>
    <w:p>
      <w:pPr>
        <w:ind w:left="300" w:right="59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Keith J. Sullivan, </w:t>
      </w:r>
      <w:r>
        <w:rPr>
          <w:rFonts w:ascii="Times New Roman" w:cs="Times New Roman" w:eastAsia="Times New Roman" w:hAnsi="Times New Roman"/>
          <w:sz w:val="18"/>
          <w:szCs w:val="18"/>
          <w:color w:val="auto"/>
        </w:rPr>
        <w:t>age 65, has served as our President and Chief Executive Officer and as a member of the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July 2020. Previously, he was Chief Commercial Officer and President (North America) of</w:t>
      </w:r>
    </w:p>
    <w:p>
      <w:pPr>
        <w:spacing w:after="0" w:line="1" w:lineRule="exact"/>
        <w:rPr>
          <w:sz w:val="20"/>
          <w:szCs w:val="20"/>
          <w:color w:val="auto"/>
        </w:rPr>
      </w:pPr>
    </w:p>
    <w:p>
      <w:pPr>
        <w:ind w:left="300" w:right="459"/>
        <w:spacing w:after="0" w:line="253" w:lineRule="auto"/>
        <w:rPr>
          <w:sz w:val="20"/>
          <w:szCs w:val="20"/>
          <w:color w:val="auto"/>
        </w:rPr>
      </w:pPr>
      <w:r>
        <w:rPr>
          <w:rFonts w:ascii="Times New Roman" w:cs="Times New Roman" w:eastAsia="Times New Roman" w:hAnsi="Times New Roman"/>
          <w:sz w:val="18"/>
          <w:szCs w:val="18"/>
          <w:color w:val="auto"/>
        </w:rPr>
        <w:t>ZELTIQ Aesthetics, Inc. (“ZELTIQ”), a medical technology company focused on developing and commercializing products utilizing its proprietary controlled-cooling technology platform under the Coolsculpting® brand, from January 2016 until the acquisition of ZELTIQ by Allergan, Inc. in April 2017. Mr. Sullivan previously served as Senior Vice President and Chief Commercial Officer of ZELTIQ from November 2014 until January 2016 and as Senior Vice President of Worldwide Sales and Marketing from</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July 2013 through October 2014. Mr. Sullivan, who has more than 30 years of senior sales leadership experience in the medical device industry, has previously held leadership positions with Medicis Pharmaceuticals,</w:t>
      </w:r>
    </w:p>
    <w:p>
      <w:pPr>
        <w:ind w:left="300" w:right="519"/>
        <w:spacing w:after="0" w:line="253" w:lineRule="auto"/>
        <w:rPr>
          <w:sz w:val="20"/>
          <w:szCs w:val="20"/>
          <w:color w:val="auto"/>
        </w:rPr>
      </w:pPr>
      <w:r>
        <w:rPr>
          <w:rFonts w:ascii="Times New Roman" w:cs="Times New Roman" w:eastAsia="Times New Roman" w:hAnsi="Times New Roman"/>
          <w:sz w:val="18"/>
          <w:szCs w:val="18"/>
          <w:color w:val="auto"/>
        </w:rPr>
        <w:t>Reliant Technologies, Medtronic, Vision Quest Laser Center and Coherent Medical. Mr. Sullivan received a Bachelor of Business Administration from the College of William and Mary. Mr. Sullivan serves on the Boards of Directors of Sientra, Inc. and Venus Concept. The Board believes Mr. Sullivan’s leadership role at the Company, responsibility for developing our strategic direction and management experience with medical product companies qualifies him to serve as a director on the Board.</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EACH NAMED NOMINEE IN PROPOSAL 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Applicable rules of the Nasdaq Stock Market LLC (“Nasdaq”)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The Nasdaq independence definition includes a series of objective tests, such as that the director is not, and has not been for at least three years, one of our employees, that neither the director nor any of his or her family members have engaged in various types of business dealings with us and that the director is not associated with the holders of more than 5% of our common stock. In addition,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w:t>
      </w:r>
    </w:p>
    <w:p>
      <w:pPr>
        <w:spacing w:after="0" w:line="84"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The Board has determined that all of our directors other than Mr. Sullivan are independent directors, as defined under applicable Nasdaq rules. In making such determination, the Board considered the relationships that each such non-employee director has with the Company and all other facts and circumstances that the Board deemed relevant in determining his or her independence, including the beneficial ownership of our capital stock by each non-employee director.</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The Board has an independent Chair, Robert A. Cascella, who has authority, among other things, to preside over Board meetings and stockholder meetings, and such powers and duties as may from time to time be assigned by the Board. The Chair has substantial ability to shape the work of the Board. We believe that separation of the positions of Chair and Chief Executive Officer reinforces the independence of the Board in its oversight of our business and affairs. We currently believe that having an independent Chair creates an environment that is more conducive to objective evaluation and oversight of management’s performance, increasing management accountability and improving the ability of the Board to monitor whether management’s actions are in our best interests and those of our stockholders. As a result, we believe that having an independent Chair can enhance the effectiveness of the Board as a whole.</w:t>
      </w:r>
    </w:p>
    <w:p>
      <w:pPr>
        <w:spacing w:after="0" w:line="3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ind w:left="300" w:right="339"/>
        <w:spacing w:after="0" w:line="272" w:lineRule="auto"/>
        <w:rPr>
          <w:sz w:val="20"/>
          <w:szCs w:val="20"/>
          <w:color w:val="auto"/>
        </w:rPr>
      </w:pPr>
      <w:r>
        <w:rPr>
          <w:rFonts w:ascii="Times New Roman" w:cs="Times New Roman" w:eastAsia="Times New Roman" w:hAnsi="Times New Roman"/>
          <w:sz w:val="17"/>
          <w:szCs w:val="17"/>
          <w:color w:val="auto"/>
        </w:rPr>
        <w:t>One of the key functions of the Board is informed oversight of our risk management process. The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the Audit Committee has the responsibility to consider and discuss our major financial risk exposures and the steps that our management has taken to monitor and control these exposures, including guidelines and policies to govern the process by which risk assessment and management is undertaken. The Audit Committee and Nominating and Corporate Governance Committee also monitor compliance with legal and regulatory requirements.</w:t>
      </w:r>
    </w:p>
    <w:p>
      <w:pPr>
        <w:spacing w:after="0" w:line="64"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The Board oversees our risk management process, including as it pertains to cybersecurity risks, directly and through its committees. The Audit Committee oversees our risk management program, which focuses on the most significant risks we face in the short-term, intermediate-term, and long-term. Audit Committee meetings include discussions of emerging industry-wide trends in cybersecurity risks along with specific risk areas for which we have greater risks throughout the year, including but not limited to those relating to cybersecurity threats. These reports come from the leader of our information technology department to include our enterprise risk profile on a quarterly basis. The Audit Committee reviews our cybersecurity risk profile with management on a periodic basis using key performance and risk indicators. These key performance indicators are industry-standard metrics and measurements designed to assess the effectiveness of our cybersecurity program in the prevention, detection, mitigation, and remediation of cybersecurity incidents.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MEETINGS OF THE BOARD AND STOCKHOLDERS</w:t>
      </w:r>
    </w:p>
    <w:p>
      <w:pPr>
        <w:spacing w:after="0" w:line="121" w:lineRule="exact"/>
        <w:rPr>
          <w:sz w:val="20"/>
          <w:szCs w:val="20"/>
          <w:color w:val="auto"/>
        </w:rPr>
      </w:pPr>
    </w:p>
    <w:p>
      <w:pPr>
        <w:ind w:left="1300" w:right="1300"/>
        <w:spacing w:after="0" w:line="254" w:lineRule="auto"/>
        <w:rPr>
          <w:sz w:val="20"/>
          <w:szCs w:val="20"/>
          <w:color w:val="auto"/>
        </w:rPr>
      </w:pPr>
      <w:r>
        <w:rPr>
          <w:rFonts w:ascii="Times New Roman" w:cs="Times New Roman" w:eastAsia="Times New Roman" w:hAnsi="Times New Roman"/>
          <w:sz w:val="18"/>
          <w:szCs w:val="18"/>
          <w:color w:val="auto"/>
        </w:rPr>
        <w:t>The Board met six times during 2023. The Audit Committee met four times in 2023. The Compensation Committee met six times in 2023. The Nominating and Corporate Governance Committee met four times in 2023. Each Board member attended at least 75% of the meetings of the Board and the committees on which he or she served in 2023. The Neuronetics independent directors met in regularly scheduled executive sessions during fiscal year 2023, at which only independent directors were present in compliance with applicable Nasdaq listing standards. Mr. Cascella, the Chair of the Board during 2023, presided over the executive sessions. The Company does not have a formal policy with regard to director attendance at annual stockholder meetings, but the Company encourages directors to attend annual stockholder meetings. Four of the then-current directors attended our most recent annual stockholder meeting, which was held on May 25, 2023.</w:t>
      </w:r>
    </w:p>
    <w:p>
      <w:pPr>
        <w:spacing w:after="0" w:line="3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left="1300" w:right="1400"/>
        <w:spacing w:after="0" w:line="256" w:lineRule="auto"/>
        <w:rPr>
          <w:sz w:val="20"/>
          <w:szCs w:val="20"/>
          <w:color w:val="auto"/>
        </w:rPr>
      </w:pPr>
      <w:r>
        <w:rPr>
          <w:rFonts w:ascii="Times New Roman" w:cs="Times New Roman" w:eastAsia="Times New Roman" w:hAnsi="Times New Roman"/>
          <w:sz w:val="18"/>
          <w:szCs w:val="18"/>
          <w:color w:val="auto"/>
        </w:rPr>
        <w:t>The Board is actively seeking diverse candidates with professional, educational, and other experiences and qualities (as described in the section entitled “Director Qualifications”) that will complement those of our current directors. While the Board believes that its current size and skill set are appropriate, the Board also recognizes the benefit of attracting individuals to the Board who are members of underrepresented people groups, many of which are disproportionately affected by the mental health conditions that the NeuroStar Advanced Therapy System is designed to treat.</w:t>
      </w:r>
    </w:p>
    <w:p>
      <w:pPr>
        <w:spacing w:after="0" w:line="1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matrix presents the Board’s diversity statistics as of April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111760</wp:posOffset>
            </wp:positionV>
            <wp:extent cx="5349240" cy="3634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3634740"/>
                    </a:xfrm>
                    <a:prstGeom prst="rect">
                      <a:avLst/>
                    </a:prstGeom>
                    <a:noFill/>
                  </pic:spPr>
                </pic:pic>
              </a:graphicData>
            </a:graphic>
          </wp:anchor>
        </w:drawing>
      </w: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1,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300" w:type="dxa"/>
            <w:vAlign w:val="bottom"/>
          </w:tcPr>
          <w:p>
            <w:pPr>
              <w:spacing w:after="0"/>
              <w:rPr>
                <w:sz w:val="24"/>
                <w:szCs w:val="24"/>
                <w:color w:val="auto"/>
              </w:rPr>
            </w:pPr>
          </w:p>
        </w:tc>
        <w:tc>
          <w:tcPr>
            <w:tcW w:w="40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7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20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68"/>
        </w:trPr>
        <w:tc>
          <w:tcPr>
            <w:tcW w:w="1300" w:type="dxa"/>
            <w:vAlign w:val="bottom"/>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55"/>
        </w:trPr>
        <w:tc>
          <w:tcPr>
            <w:tcW w:w="1300" w:type="dxa"/>
            <w:vAlign w:val="bottom"/>
          </w:tcPr>
          <w:p>
            <w:pPr>
              <w:spacing w:after="0"/>
              <w:rPr>
                <w:sz w:val="22"/>
                <w:szCs w:val="22"/>
                <w:color w:val="auto"/>
              </w:rPr>
            </w:pPr>
          </w:p>
        </w:tc>
        <w:tc>
          <w:tcPr>
            <w:tcW w:w="4040" w:type="dxa"/>
            <w:vAlign w:val="bottom"/>
            <w:tcBorders>
              <w:right w:val="single" w:sz="8" w:color="auto"/>
            </w:tcBorders>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7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60" w:type="dxa"/>
            <w:vAlign w:val="bottom"/>
            <w:tcBorders>
              <w:right w:val="single" w:sz="8" w:color="auto"/>
            </w:tcBorders>
          </w:tcPr>
          <w:p>
            <w:pPr>
              <w:spacing w:after="0"/>
              <w:rPr>
                <w:sz w:val="22"/>
                <w:szCs w:val="22"/>
                <w:color w:val="auto"/>
              </w:rPr>
            </w:pPr>
          </w:p>
        </w:tc>
        <w:tc>
          <w:tcPr>
            <w:tcW w:w="2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8"/>
        </w:trPr>
        <w:tc>
          <w:tcPr>
            <w:tcW w:w="1300" w:type="dxa"/>
            <w:vAlign w:val="bottom"/>
          </w:tcPr>
          <w:p>
            <w:pPr>
              <w:spacing w:after="0"/>
              <w:rPr>
                <w:sz w:val="20"/>
                <w:szCs w:val="20"/>
                <w:color w:val="auto"/>
              </w:rPr>
            </w:pPr>
          </w:p>
        </w:tc>
        <w:tc>
          <w:tcPr>
            <w:tcW w:w="404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5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Male</w:t>
            </w:r>
          </w:p>
        </w:tc>
        <w:tc>
          <w:tcPr>
            <w:tcW w:w="7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Binary</w:t>
            </w:r>
          </w:p>
        </w:tc>
        <w:tc>
          <w:tcPr>
            <w:tcW w:w="260" w:type="dxa"/>
            <w:vAlign w:val="bottom"/>
            <w:tcBorders>
              <w:right w:val="single" w:sz="8" w:color="auto"/>
            </w:tcBorders>
          </w:tcPr>
          <w:p>
            <w:pPr>
              <w:spacing w:after="0"/>
              <w:rPr>
                <w:sz w:val="20"/>
                <w:szCs w:val="20"/>
                <w:color w:val="auto"/>
              </w:rPr>
            </w:pPr>
          </w:p>
        </w:tc>
        <w:tc>
          <w:tcPr>
            <w:tcW w:w="33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Did Not Disclose Gender</w:t>
            </w:r>
          </w:p>
        </w:tc>
      </w:tr>
      <w:tr>
        <w:trPr>
          <w:trHeight w:val="68"/>
        </w:trPr>
        <w:tc>
          <w:tcPr>
            <w:tcW w:w="1300" w:type="dxa"/>
            <w:vAlign w:val="bottom"/>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1300" w:type="dxa"/>
            <w:vAlign w:val="bottom"/>
          </w:tcPr>
          <w:p>
            <w:pPr>
              <w:spacing w:after="0"/>
              <w:rPr>
                <w:sz w:val="24"/>
                <w:szCs w:val="24"/>
                <w:color w:val="auto"/>
              </w:rPr>
            </w:pPr>
          </w:p>
        </w:tc>
        <w:tc>
          <w:tcPr>
            <w:tcW w:w="40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Part I: Gender Identity</w:t>
            </w:r>
          </w:p>
        </w:tc>
        <w:tc>
          <w:tcPr>
            <w:tcW w:w="760" w:type="dxa"/>
            <w:vAlign w:val="bottom"/>
            <w:tcBorders>
              <w:right w:val="single" w:sz="8" w:color="CCEEFF"/>
            </w:tcBorders>
            <w:shd w:val="clear" w:color="auto" w:fill="CCEEFF"/>
          </w:tcPr>
          <w:p>
            <w:pPr>
              <w:spacing w:after="0"/>
              <w:rPr>
                <w:sz w:val="24"/>
                <w:szCs w:val="24"/>
                <w:color w:val="auto"/>
              </w:rPr>
            </w:pPr>
          </w:p>
        </w:tc>
        <w:tc>
          <w:tcPr>
            <w:tcW w:w="540" w:type="dxa"/>
            <w:vAlign w:val="bottom"/>
            <w:tcBorders>
              <w:right w:val="single" w:sz="8" w:color="CCEEFF"/>
            </w:tcBorders>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tcBorders>
              <w:right w:val="single" w:sz="8" w:color="CCEEFF"/>
            </w:tcBorders>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8"/>
        </w:trPr>
        <w:tc>
          <w:tcPr>
            <w:tcW w:w="1300" w:type="dxa"/>
            <w:vAlign w:val="bottom"/>
          </w:tcPr>
          <w:p>
            <w:pPr>
              <w:spacing w:after="0"/>
              <w:rPr>
                <w:sz w:val="5"/>
                <w:szCs w:val="5"/>
                <w:color w:val="auto"/>
              </w:rPr>
            </w:pPr>
          </w:p>
        </w:tc>
        <w:tc>
          <w:tcPr>
            <w:tcW w:w="4040" w:type="dxa"/>
            <w:vAlign w:val="bottom"/>
            <w:tcBorders>
              <w:bottom w:val="single" w:sz="8" w:color="auto"/>
              <w:right w:val="single" w:sz="8" w:color="CCEEFF"/>
            </w:tcBorders>
            <w:shd w:val="clear" w:color="auto" w:fill="CCEEFF"/>
          </w:tcPr>
          <w:p>
            <w:pPr>
              <w:spacing w:after="0"/>
              <w:rPr>
                <w:sz w:val="5"/>
                <w:szCs w:val="5"/>
                <w:color w:val="auto"/>
              </w:rPr>
            </w:pPr>
          </w:p>
        </w:tc>
        <w:tc>
          <w:tcPr>
            <w:tcW w:w="760" w:type="dxa"/>
            <w:vAlign w:val="bottom"/>
            <w:tcBorders>
              <w:bottom w:val="single" w:sz="8" w:color="auto"/>
              <w:right w:val="single" w:sz="8" w:color="CCEEFF"/>
            </w:tcBorders>
            <w:shd w:val="clear" w:color="auto" w:fill="CCEEFF"/>
          </w:tcPr>
          <w:p>
            <w:pPr>
              <w:spacing w:after="0"/>
              <w:rPr>
                <w:sz w:val="5"/>
                <w:szCs w:val="5"/>
                <w:color w:val="auto"/>
              </w:rPr>
            </w:pPr>
          </w:p>
        </w:tc>
        <w:tc>
          <w:tcPr>
            <w:tcW w:w="540" w:type="dxa"/>
            <w:vAlign w:val="bottom"/>
            <w:tcBorders>
              <w:bottom w:val="single" w:sz="8" w:color="auto"/>
              <w:right w:val="single" w:sz="8" w:color="CCEEFF"/>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260" w:type="dxa"/>
            <w:vAlign w:val="bottom"/>
            <w:tcBorders>
              <w:bottom w:val="single" w:sz="8" w:color="auto"/>
              <w:right w:val="single" w:sz="8" w:color="CCEEFF"/>
            </w:tcBorders>
            <w:shd w:val="clear" w:color="auto" w:fill="CCEEFF"/>
          </w:tcPr>
          <w:p>
            <w:pPr>
              <w:spacing w:after="0"/>
              <w:rPr>
                <w:sz w:val="5"/>
                <w:szCs w:val="5"/>
                <w:color w:val="auto"/>
              </w:rPr>
            </w:pPr>
          </w:p>
        </w:tc>
        <w:tc>
          <w:tcPr>
            <w:tcW w:w="202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1300" w:type="dxa"/>
            <w:vAlign w:val="bottom"/>
          </w:tcPr>
          <w:p>
            <w:pPr>
              <w:spacing w:after="0"/>
              <w:rPr>
                <w:sz w:val="24"/>
                <w:szCs w:val="24"/>
                <w:color w:val="auto"/>
              </w:rPr>
            </w:pPr>
          </w:p>
        </w:tc>
        <w:tc>
          <w:tcPr>
            <w:tcW w:w="4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Directors</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right w:val="single" w:sz="8" w:color="auto"/>
            </w:tcBorders>
          </w:tcPr>
          <w:p>
            <w:pPr>
              <w:spacing w:after="0"/>
              <w:rPr>
                <w:sz w:val="24"/>
                <w:szCs w:val="24"/>
                <w:color w:val="auto"/>
              </w:rPr>
            </w:pPr>
          </w:p>
        </w:tc>
        <w:tc>
          <w:tcPr>
            <w:tcW w:w="20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8"/>
        </w:trPr>
        <w:tc>
          <w:tcPr>
            <w:tcW w:w="1300" w:type="dxa"/>
            <w:vAlign w:val="bottom"/>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1300" w:type="dxa"/>
            <w:vAlign w:val="bottom"/>
          </w:tcPr>
          <w:p>
            <w:pPr>
              <w:spacing w:after="0"/>
              <w:rPr>
                <w:sz w:val="24"/>
                <w:szCs w:val="24"/>
                <w:color w:val="auto"/>
              </w:rPr>
            </w:pPr>
          </w:p>
        </w:tc>
        <w:tc>
          <w:tcPr>
            <w:tcW w:w="40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Part II: Demographic Background</w:t>
            </w:r>
          </w:p>
        </w:tc>
        <w:tc>
          <w:tcPr>
            <w:tcW w:w="760" w:type="dxa"/>
            <w:vAlign w:val="bottom"/>
            <w:tcBorders>
              <w:right w:val="single" w:sz="8" w:color="CCEEFF"/>
            </w:tcBorders>
            <w:shd w:val="clear" w:color="auto" w:fill="CCEEFF"/>
          </w:tcPr>
          <w:p>
            <w:pPr>
              <w:spacing w:after="0"/>
              <w:rPr>
                <w:sz w:val="24"/>
                <w:szCs w:val="24"/>
                <w:color w:val="auto"/>
              </w:rPr>
            </w:pPr>
          </w:p>
        </w:tc>
        <w:tc>
          <w:tcPr>
            <w:tcW w:w="540" w:type="dxa"/>
            <w:vAlign w:val="bottom"/>
            <w:tcBorders>
              <w:right w:val="single" w:sz="8" w:color="CCEEFF"/>
            </w:tcBorders>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tcBorders>
              <w:right w:val="single" w:sz="8" w:color="CCEEFF"/>
            </w:tcBorders>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7"/>
        </w:trPr>
        <w:tc>
          <w:tcPr>
            <w:tcW w:w="1300" w:type="dxa"/>
            <w:vAlign w:val="bottom"/>
          </w:tcPr>
          <w:p>
            <w:pPr>
              <w:spacing w:after="0"/>
              <w:rPr>
                <w:sz w:val="5"/>
                <w:szCs w:val="5"/>
                <w:color w:val="auto"/>
              </w:rPr>
            </w:pPr>
          </w:p>
        </w:tc>
        <w:tc>
          <w:tcPr>
            <w:tcW w:w="4040" w:type="dxa"/>
            <w:vAlign w:val="bottom"/>
            <w:tcBorders>
              <w:bottom w:val="single" w:sz="8" w:color="auto"/>
              <w:right w:val="single" w:sz="8" w:color="CCEEFF"/>
            </w:tcBorders>
            <w:shd w:val="clear" w:color="auto" w:fill="CCEEFF"/>
          </w:tcPr>
          <w:p>
            <w:pPr>
              <w:spacing w:after="0"/>
              <w:rPr>
                <w:sz w:val="5"/>
                <w:szCs w:val="5"/>
                <w:color w:val="auto"/>
              </w:rPr>
            </w:pPr>
          </w:p>
        </w:tc>
        <w:tc>
          <w:tcPr>
            <w:tcW w:w="760" w:type="dxa"/>
            <w:vAlign w:val="bottom"/>
            <w:tcBorders>
              <w:bottom w:val="single" w:sz="8" w:color="auto"/>
              <w:right w:val="single" w:sz="8" w:color="CCEEFF"/>
            </w:tcBorders>
            <w:shd w:val="clear" w:color="auto" w:fill="CCEEFF"/>
          </w:tcPr>
          <w:p>
            <w:pPr>
              <w:spacing w:after="0"/>
              <w:rPr>
                <w:sz w:val="5"/>
                <w:szCs w:val="5"/>
                <w:color w:val="auto"/>
              </w:rPr>
            </w:pPr>
          </w:p>
        </w:tc>
        <w:tc>
          <w:tcPr>
            <w:tcW w:w="540" w:type="dxa"/>
            <w:vAlign w:val="bottom"/>
            <w:tcBorders>
              <w:bottom w:val="single" w:sz="8" w:color="auto"/>
              <w:right w:val="single" w:sz="8" w:color="CCEEFF"/>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260" w:type="dxa"/>
            <w:vAlign w:val="bottom"/>
            <w:tcBorders>
              <w:bottom w:val="single" w:sz="8" w:color="auto"/>
              <w:right w:val="single" w:sz="8" w:color="CCEEFF"/>
            </w:tcBorders>
            <w:shd w:val="clear" w:color="auto" w:fill="CCEEFF"/>
          </w:tcPr>
          <w:p>
            <w:pPr>
              <w:spacing w:after="0"/>
              <w:rPr>
                <w:sz w:val="5"/>
                <w:szCs w:val="5"/>
                <w:color w:val="auto"/>
              </w:rPr>
            </w:pPr>
          </w:p>
        </w:tc>
        <w:tc>
          <w:tcPr>
            <w:tcW w:w="202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1300" w:type="dxa"/>
            <w:vAlign w:val="bottom"/>
          </w:tcPr>
          <w:p>
            <w:pPr>
              <w:spacing w:after="0"/>
              <w:rPr>
                <w:sz w:val="24"/>
                <w:szCs w:val="24"/>
                <w:color w:val="auto"/>
              </w:rPr>
            </w:pPr>
          </w:p>
        </w:tc>
        <w:tc>
          <w:tcPr>
            <w:tcW w:w="4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right w:val="single" w:sz="8" w:color="auto"/>
            </w:tcBorders>
          </w:tcPr>
          <w:p>
            <w:pPr>
              <w:spacing w:after="0"/>
              <w:rPr>
                <w:sz w:val="24"/>
                <w:szCs w:val="24"/>
                <w:color w:val="auto"/>
              </w:rPr>
            </w:pPr>
          </w:p>
        </w:tc>
        <w:tc>
          <w:tcPr>
            <w:tcW w:w="3340" w:type="dxa"/>
            <w:vAlign w:val="bottom"/>
            <w:gridSpan w:val="3"/>
          </w:tcPr>
          <w:p>
            <w:pPr>
              <w:jc w:val="right"/>
              <w:ind w:right="2240"/>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1300" w:type="dxa"/>
            <w:vAlign w:val="bottom"/>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2040" w:type="dxa"/>
            <w:vAlign w:val="bottom"/>
            <w:tcBorders>
              <w:bottom w:val="single" w:sz="8" w:color="auto"/>
            </w:tcBorders>
            <w:gridSpan w:val="2"/>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1300" w:type="dxa"/>
            <w:vAlign w:val="bottom"/>
          </w:tcPr>
          <w:p>
            <w:pPr>
              <w:spacing w:after="0"/>
              <w:rPr>
                <w:sz w:val="24"/>
                <w:szCs w:val="24"/>
                <w:color w:val="auto"/>
              </w:rPr>
            </w:pPr>
          </w:p>
        </w:tc>
        <w:tc>
          <w:tcPr>
            <w:tcW w:w="40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right w:val="single" w:sz="8" w:color="auto"/>
            </w:tcBorders>
            <w:shd w:val="clear" w:color="auto" w:fill="CCEEFF"/>
          </w:tcPr>
          <w:p>
            <w:pPr>
              <w:spacing w:after="0"/>
              <w:rPr>
                <w:sz w:val="24"/>
                <w:szCs w:val="24"/>
                <w:color w:val="auto"/>
              </w:rPr>
            </w:pPr>
          </w:p>
        </w:tc>
        <w:tc>
          <w:tcPr>
            <w:tcW w:w="2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8"/>
        </w:trPr>
        <w:tc>
          <w:tcPr>
            <w:tcW w:w="1300" w:type="dxa"/>
            <w:vAlign w:val="bottom"/>
          </w:tcPr>
          <w:p>
            <w:pPr>
              <w:spacing w:after="0"/>
              <w:rPr>
                <w:sz w:val="5"/>
                <w:szCs w:val="5"/>
                <w:color w:val="auto"/>
              </w:rPr>
            </w:pPr>
          </w:p>
        </w:tc>
        <w:tc>
          <w:tcPr>
            <w:tcW w:w="4040" w:type="dxa"/>
            <w:vAlign w:val="bottom"/>
            <w:tcBorders>
              <w:bottom w:val="single" w:sz="8" w:color="auto"/>
              <w:right w:val="single" w:sz="8" w:color="auto"/>
            </w:tcBorders>
            <w:shd w:val="clear" w:color="auto" w:fill="CCEEFF"/>
          </w:tcPr>
          <w:p>
            <w:pPr>
              <w:spacing w:after="0"/>
              <w:rPr>
                <w:sz w:val="5"/>
                <w:szCs w:val="5"/>
                <w:color w:val="auto"/>
              </w:rPr>
            </w:pPr>
          </w:p>
        </w:tc>
        <w:tc>
          <w:tcPr>
            <w:tcW w:w="760" w:type="dxa"/>
            <w:vAlign w:val="bottom"/>
            <w:tcBorders>
              <w:bottom w:val="single" w:sz="8" w:color="auto"/>
              <w:right w:val="single" w:sz="8" w:color="auto"/>
            </w:tcBorders>
            <w:shd w:val="clear" w:color="auto" w:fill="CCEEFF"/>
          </w:tcPr>
          <w:p>
            <w:pPr>
              <w:spacing w:after="0"/>
              <w:rPr>
                <w:sz w:val="5"/>
                <w:szCs w:val="5"/>
                <w:color w:val="auto"/>
              </w:rPr>
            </w:pPr>
          </w:p>
        </w:tc>
        <w:tc>
          <w:tcPr>
            <w:tcW w:w="540" w:type="dxa"/>
            <w:vAlign w:val="bottom"/>
            <w:tcBorders>
              <w:bottom w:val="single" w:sz="8" w:color="auto"/>
              <w:right w:val="single" w:sz="8" w:color="auto"/>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260" w:type="dxa"/>
            <w:vAlign w:val="bottom"/>
            <w:tcBorders>
              <w:bottom w:val="single" w:sz="8" w:color="auto"/>
              <w:right w:val="single" w:sz="8" w:color="auto"/>
            </w:tcBorders>
            <w:shd w:val="clear" w:color="auto" w:fill="CCEEFF"/>
          </w:tcPr>
          <w:p>
            <w:pPr>
              <w:spacing w:after="0"/>
              <w:rPr>
                <w:sz w:val="5"/>
                <w:szCs w:val="5"/>
                <w:color w:val="auto"/>
              </w:rPr>
            </w:pPr>
          </w:p>
        </w:tc>
        <w:tc>
          <w:tcPr>
            <w:tcW w:w="202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1300" w:type="dxa"/>
            <w:vAlign w:val="bottom"/>
          </w:tcPr>
          <w:p>
            <w:pPr>
              <w:spacing w:after="0"/>
              <w:rPr>
                <w:sz w:val="24"/>
                <w:szCs w:val="24"/>
                <w:color w:val="auto"/>
              </w:rPr>
            </w:pPr>
          </w:p>
        </w:tc>
        <w:tc>
          <w:tcPr>
            <w:tcW w:w="4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Asian</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right w:val="single" w:sz="8" w:color="auto"/>
            </w:tcBorders>
          </w:tcPr>
          <w:p>
            <w:pPr>
              <w:spacing w:after="0"/>
              <w:rPr>
                <w:sz w:val="24"/>
                <w:szCs w:val="24"/>
                <w:color w:val="auto"/>
              </w:rPr>
            </w:pPr>
          </w:p>
        </w:tc>
        <w:tc>
          <w:tcPr>
            <w:tcW w:w="3340" w:type="dxa"/>
            <w:vAlign w:val="bottom"/>
            <w:gridSpan w:val="3"/>
          </w:tcPr>
          <w:p>
            <w:pPr>
              <w:jc w:val="right"/>
              <w:ind w:right="2240"/>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1300" w:type="dxa"/>
            <w:vAlign w:val="bottom"/>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2040" w:type="dxa"/>
            <w:vAlign w:val="bottom"/>
            <w:tcBorders>
              <w:bottom w:val="single" w:sz="8" w:color="auto"/>
            </w:tcBorders>
            <w:gridSpan w:val="2"/>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1300" w:type="dxa"/>
            <w:vAlign w:val="bottom"/>
          </w:tcPr>
          <w:p>
            <w:pPr>
              <w:spacing w:after="0"/>
              <w:rPr>
                <w:sz w:val="24"/>
                <w:szCs w:val="24"/>
                <w:color w:val="auto"/>
              </w:rPr>
            </w:pPr>
          </w:p>
        </w:tc>
        <w:tc>
          <w:tcPr>
            <w:tcW w:w="40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Hispanic or Latinx</w:t>
            </w:r>
          </w:p>
        </w:tc>
        <w:tc>
          <w:tcPr>
            <w:tcW w:w="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right w:val="single" w:sz="8" w:color="auto"/>
            </w:tcBorders>
            <w:shd w:val="clear" w:color="auto" w:fill="CCEEFF"/>
          </w:tcPr>
          <w:p>
            <w:pPr>
              <w:spacing w:after="0"/>
              <w:rPr>
                <w:sz w:val="24"/>
                <w:szCs w:val="24"/>
                <w:color w:val="auto"/>
              </w:rPr>
            </w:pPr>
          </w:p>
        </w:tc>
        <w:tc>
          <w:tcPr>
            <w:tcW w:w="2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7"/>
        </w:trPr>
        <w:tc>
          <w:tcPr>
            <w:tcW w:w="1300" w:type="dxa"/>
            <w:vAlign w:val="bottom"/>
          </w:tcPr>
          <w:p>
            <w:pPr>
              <w:spacing w:after="0"/>
              <w:rPr>
                <w:sz w:val="5"/>
                <w:szCs w:val="5"/>
                <w:color w:val="auto"/>
              </w:rPr>
            </w:pPr>
          </w:p>
        </w:tc>
        <w:tc>
          <w:tcPr>
            <w:tcW w:w="4040" w:type="dxa"/>
            <w:vAlign w:val="bottom"/>
            <w:tcBorders>
              <w:bottom w:val="single" w:sz="8" w:color="auto"/>
              <w:right w:val="single" w:sz="8" w:color="auto"/>
            </w:tcBorders>
            <w:shd w:val="clear" w:color="auto" w:fill="CCEEFF"/>
          </w:tcPr>
          <w:p>
            <w:pPr>
              <w:spacing w:after="0"/>
              <w:rPr>
                <w:sz w:val="5"/>
                <w:szCs w:val="5"/>
                <w:color w:val="auto"/>
              </w:rPr>
            </w:pPr>
          </w:p>
        </w:tc>
        <w:tc>
          <w:tcPr>
            <w:tcW w:w="760" w:type="dxa"/>
            <w:vAlign w:val="bottom"/>
            <w:tcBorders>
              <w:bottom w:val="single" w:sz="8" w:color="auto"/>
              <w:right w:val="single" w:sz="8" w:color="auto"/>
            </w:tcBorders>
            <w:shd w:val="clear" w:color="auto" w:fill="CCEEFF"/>
          </w:tcPr>
          <w:p>
            <w:pPr>
              <w:spacing w:after="0"/>
              <w:rPr>
                <w:sz w:val="5"/>
                <w:szCs w:val="5"/>
                <w:color w:val="auto"/>
              </w:rPr>
            </w:pPr>
          </w:p>
        </w:tc>
        <w:tc>
          <w:tcPr>
            <w:tcW w:w="540" w:type="dxa"/>
            <w:vAlign w:val="bottom"/>
            <w:tcBorders>
              <w:bottom w:val="single" w:sz="8" w:color="auto"/>
              <w:right w:val="single" w:sz="8" w:color="auto"/>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260" w:type="dxa"/>
            <w:vAlign w:val="bottom"/>
            <w:tcBorders>
              <w:bottom w:val="single" w:sz="8" w:color="auto"/>
              <w:right w:val="single" w:sz="8" w:color="auto"/>
            </w:tcBorders>
            <w:shd w:val="clear" w:color="auto" w:fill="CCEEFF"/>
          </w:tcPr>
          <w:p>
            <w:pPr>
              <w:spacing w:after="0"/>
              <w:rPr>
                <w:sz w:val="5"/>
                <w:szCs w:val="5"/>
                <w:color w:val="auto"/>
              </w:rPr>
            </w:pPr>
          </w:p>
        </w:tc>
        <w:tc>
          <w:tcPr>
            <w:tcW w:w="202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1300" w:type="dxa"/>
            <w:vAlign w:val="bottom"/>
          </w:tcPr>
          <w:p>
            <w:pPr>
              <w:spacing w:after="0"/>
              <w:rPr>
                <w:sz w:val="24"/>
                <w:szCs w:val="24"/>
                <w:color w:val="auto"/>
              </w:rPr>
            </w:pPr>
          </w:p>
        </w:tc>
        <w:tc>
          <w:tcPr>
            <w:tcW w:w="4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right w:val="single" w:sz="8" w:color="auto"/>
            </w:tcBorders>
          </w:tcPr>
          <w:p>
            <w:pPr>
              <w:spacing w:after="0"/>
              <w:rPr>
                <w:sz w:val="24"/>
                <w:szCs w:val="24"/>
                <w:color w:val="auto"/>
              </w:rPr>
            </w:pPr>
          </w:p>
        </w:tc>
        <w:tc>
          <w:tcPr>
            <w:tcW w:w="3340" w:type="dxa"/>
            <w:vAlign w:val="bottom"/>
            <w:gridSpan w:val="3"/>
          </w:tcPr>
          <w:p>
            <w:pPr>
              <w:jc w:val="right"/>
              <w:ind w:right="2240"/>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1300" w:type="dxa"/>
            <w:vAlign w:val="bottom"/>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2040" w:type="dxa"/>
            <w:vAlign w:val="bottom"/>
            <w:tcBorders>
              <w:bottom w:val="single" w:sz="8" w:color="auto"/>
            </w:tcBorders>
            <w:gridSpan w:val="2"/>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1300" w:type="dxa"/>
            <w:vAlign w:val="bottom"/>
          </w:tcPr>
          <w:p>
            <w:pPr>
              <w:spacing w:after="0"/>
              <w:rPr>
                <w:sz w:val="24"/>
                <w:szCs w:val="24"/>
                <w:color w:val="auto"/>
              </w:rPr>
            </w:pPr>
          </w:p>
        </w:tc>
        <w:tc>
          <w:tcPr>
            <w:tcW w:w="40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White</w:t>
            </w:r>
          </w:p>
        </w:tc>
        <w:tc>
          <w:tcPr>
            <w:tcW w:w="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Borders>
              <w:right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right w:val="single" w:sz="8" w:color="auto"/>
            </w:tcBorders>
            <w:shd w:val="clear" w:color="auto" w:fill="CCEEFF"/>
          </w:tcPr>
          <w:p>
            <w:pPr>
              <w:spacing w:after="0"/>
              <w:rPr>
                <w:sz w:val="24"/>
                <w:szCs w:val="24"/>
                <w:color w:val="auto"/>
              </w:rPr>
            </w:pPr>
          </w:p>
        </w:tc>
        <w:tc>
          <w:tcPr>
            <w:tcW w:w="2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8"/>
        </w:trPr>
        <w:tc>
          <w:tcPr>
            <w:tcW w:w="1300" w:type="dxa"/>
            <w:vAlign w:val="bottom"/>
          </w:tcPr>
          <w:p>
            <w:pPr>
              <w:spacing w:after="0"/>
              <w:rPr>
                <w:sz w:val="5"/>
                <w:szCs w:val="5"/>
                <w:color w:val="auto"/>
              </w:rPr>
            </w:pPr>
          </w:p>
        </w:tc>
        <w:tc>
          <w:tcPr>
            <w:tcW w:w="4040" w:type="dxa"/>
            <w:vAlign w:val="bottom"/>
            <w:tcBorders>
              <w:bottom w:val="single" w:sz="8" w:color="auto"/>
              <w:right w:val="single" w:sz="8" w:color="auto"/>
            </w:tcBorders>
            <w:shd w:val="clear" w:color="auto" w:fill="CCEEFF"/>
          </w:tcPr>
          <w:p>
            <w:pPr>
              <w:spacing w:after="0"/>
              <w:rPr>
                <w:sz w:val="5"/>
                <w:szCs w:val="5"/>
                <w:color w:val="auto"/>
              </w:rPr>
            </w:pPr>
          </w:p>
        </w:tc>
        <w:tc>
          <w:tcPr>
            <w:tcW w:w="760" w:type="dxa"/>
            <w:vAlign w:val="bottom"/>
            <w:tcBorders>
              <w:bottom w:val="single" w:sz="8" w:color="auto"/>
              <w:right w:val="single" w:sz="8" w:color="auto"/>
            </w:tcBorders>
            <w:shd w:val="clear" w:color="auto" w:fill="CCEEFF"/>
          </w:tcPr>
          <w:p>
            <w:pPr>
              <w:spacing w:after="0"/>
              <w:rPr>
                <w:sz w:val="5"/>
                <w:szCs w:val="5"/>
                <w:color w:val="auto"/>
              </w:rPr>
            </w:pPr>
          </w:p>
        </w:tc>
        <w:tc>
          <w:tcPr>
            <w:tcW w:w="540" w:type="dxa"/>
            <w:vAlign w:val="bottom"/>
            <w:tcBorders>
              <w:bottom w:val="single" w:sz="8" w:color="auto"/>
              <w:right w:val="single" w:sz="8" w:color="auto"/>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260" w:type="dxa"/>
            <w:vAlign w:val="bottom"/>
            <w:tcBorders>
              <w:bottom w:val="single" w:sz="8" w:color="auto"/>
              <w:right w:val="single" w:sz="8" w:color="auto"/>
            </w:tcBorders>
            <w:shd w:val="clear" w:color="auto" w:fill="CCEEFF"/>
          </w:tcPr>
          <w:p>
            <w:pPr>
              <w:spacing w:after="0"/>
              <w:rPr>
                <w:sz w:val="5"/>
                <w:szCs w:val="5"/>
                <w:color w:val="auto"/>
              </w:rPr>
            </w:pPr>
          </w:p>
        </w:tc>
        <w:tc>
          <w:tcPr>
            <w:tcW w:w="202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1300" w:type="dxa"/>
            <w:vAlign w:val="bottom"/>
          </w:tcPr>
          <w:p>
            <w:pPr>
              <w:spacing w:after="0"/>
              <w:rPr>
                <w:sz w:val="24"/>
                <w:szCs w:val="24"/>
                <w:color w:val="auto"/>
              </w:rPr>
            </w:pPr>
          </w:p>
        </w:tc>
        <w:tc>
          <w:tcPr>
            <w:tcW w:w="4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right w:val="single" w:sz="8" w:color="auto"/>
            </w:tcBorders>
          </w:tcPr>
          <w:p>
            <w:pPr>
              <w:spacing w:after="0"/>
              <w:rPr>
                <w:sz w:val="24"/>
                <w:szCs w:val="24"/>
                <w:color w:val="auto"/>
              </w:rPr>
            </w:pPr>
          </w:p>
        </w:tc>
        <w:tc>
          <w:tcPr>
            <w:tcW w:w="3340" w:type="dxa"/>
            <w:vAlign w:val="bottom"/>
            <w:gridSpan w:val="3"/>
          </w:tcPr>
          <w:p>
            <w:pPr>
              <w:jc w:val="right"/>
              <w:ind w:right="2240"/>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1300" w:type="dxa"/>
            <w:vAlign w:val="bottom"/>
          </w:tcPr>
          <w:p>
            <w:pPr>
              <w:spacing w:after="0"/>
              <w:rPr>
                <w:sz w:val="5"/>
                <w:szCs w:val="5"/>
                <w:color w:val="auto"/>
              </w:rPr>
            </w:pPr>
          </w:p>
        </w:tc>
        <w:tc>
          <w:tcPr>
            <w:tcW w:w="404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2040" w:type="dxa"/>
            <w:vAlign w:val="bottom"/>
            <w:tcBorders>
              <w:bottom w:val="single" w:sz="8" w:color="auto"/>
            </w:tcBorders>
            <w:gridSpan w:val="2"/>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1300" w:type="dxa"/>
            <w:vAlign w:val="bottom"/>
          </w:tcPr>
          <w:p>
            <w:pPr>
              <w:spacing w:after="0"/>
              <w:rPr>
                <w:sz w:val="24"/>
                <w:szCs w:val="24"/>
                <w:color w:val="auto"/>
              </w:rPr>
            </w:pPr>
          </w:p>
        </w:tc>
        <w:tc>
          <w:tcPr>
            <w:tcW w:w="404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LGBTQ+</w:t>
            </w:r>
          </w:p>
        </w:tc>
        <w:tc>
          <w:tcPr>
            <w:tcW w:w="760" w:type="dxa"/>
            <w:vAlign w:val="bottom"/>
            <w:tcBorders>
              <w:right w:val="single" w:sz="8" w:color="CCEEFF"/>
            </w:tcBorders>
            <w:shd w:val="clear" w:color="auto" w:fill="CCEEFF"/>
          </w:tcPr>
          <w:p>
            <w:pPr>
              <w:spacing w:after="0"/>
              <w:rPr>
                <w:sz w:val="24"/>
                <w:szCs w:val="24"/>
                <w:color w:val="auto"/>
              </w:rPr>
            </w:pPr>
          </w:p>
        </w:tc>
        <w:tc>
          <w:tcPr>
            <w:tcW w:w="540" w:type="dxa"/>
            <w:vAlign w:val="bottom"/>
            <w:tcBorders>
              <w:right w:val="single" w:sz="8" w:color="CCEEFF"/>
            </w:tcBorders>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80" w:type="dxa"/>
            <w:vAlign w:val="bottom"/>
            <w:gridSpan w:val="2"/>
            <w:shd w:val="clear" w:color="auto" w:fill="CCEEFF"/>
          </w:tcPr>
          <w:p>
            <w:pPr>
              <w:jc w:val="center"/>
              <w:ind w:right="197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7"/>
        </w:trPr>
        <w:tc>
          <w:tcPr>
            <w:tcW w:w="1300" w:type="dxa"/>
            <w:vAlign w:val="bottom"/>
          </w:tcPr>
          <w:p>
            <w:pPr>
              <w:spacing w:after="0"/>
              <w:rPr>
                <w:sz w:val="5"/>
                <w:szCs w:val="5"/>
                <w:color w:val="auto"/>
              </w:rPr>
            </w:pPr>
          </w:p>
        </w:tc>
        <w:tc>
          <w:tcPr>
            <w:tcW w:w="4040" w:type="dxa"/>
            <w:vAlign w:val="bottom"/>
            <w:tcBorders>
              <w:bottom w:val="single" w:sz="8" w:color="auto"/>
              <w:right w:val="single" w:sz="8" w:color="auto"/>
            </w:tcBorders>
            <w:shd w:val="clear" w:color="auto" w:fill="CCEEFF"/>
          </w:tcPr>
          <w:p>
            <w:pPr>
              <w:spacing w:after="0"/>
              <w:rPr>
                <w:sz w:val="5"/>
                <w:szCs w:val="5"/>
                <w:color w:val="auto"/>
              </w:rPr>
            </w:pPr>
          </w:p>
        </w:tc>
        <w:tc>
          <w:tcPr>
            <w:tcW w:w="760" w:type="dxa"/>
            <w:vAlign w:val="bottom"/>
            <w:tcBorders>
              <w:bottom w:val="single" w:sz="8" w:color="auto"/>
              <w:right w:val="single" w:sz="8" w:color="CCEEFF"/>
            </w:tcBorders>
            <w:shd w:val="clear" w:color="auto" w:fill="CCEEFF"/>
          </w:tcPr>
          <w:p>
            <w:pPr>
              <w:spacing w:after="0"/>
              <w:rPr>
                <w:sz w:val="5"/>
                <w:szCs w:val="5"/>
                <w:color w:val="auto"/>
              </w:rPr>
            </w:pPr>
          </w:p>
        </w:tc>
        <w:tc>
          <w:tcPr>
            <w:tcW w:w="540" w:type="dxa"/>
            <w:vAlign w:val="bottom"/>
            <w:tcBorders>
              <w:bottom w:val="single" w:sz="8" w:color="auto"/>
              <w:right w:val="single" w:sz="8" w:color="CCEEFF"/>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260" w:type="dxa"/>
            <w:vAlign w:val="bottom"/>
            <w:tcBorders>
              <w:bottom w:val="single" w:sz="8" w:color="auto"/>
              <w:right w:val="single" w:sz="8" w:color="CCEEFF"/>
            </w:tcBorders>
            <w:shd w:val="clear" w:color="auto" w:fill="CCEEFF"/>
          </w:tcPr>
          <w:p>
            <w:pPr>
              <w:spacing w:after="0"/>
              <w:rPr>
                <w:sz w:val="5"/>
                <w:szCs w:val="5"/>
                <w:color w:val="auto"/>
              </w:rPr>
            </w:pPr>
          </w:p>
        </w:tc>
        <w:tc>
          <w:tcPr>
            <w:tcW w:w="202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1300" w:type="dxa"/>
            <w:vAlign w:val="bottom"/>
          </w:tcPr>
          <w:p>
            <w:pPr>
              <w:spacing w:after="0"/>
              <w:rPr>
                <w:sz w:val="24"/>
                <w:szCs w:val="24"/>
                <w:color w:val="auto"/>
              </w:rPr>
            </w:pPr>
          </w:p>
        </w:tc>
        <w:tc>
          <w:tcPr>
            <w:tcW w:w="4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40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425"/>
        </w:trPr>
        <w:tc>
          <w:tcPr>
            <w:tcW w:w="13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7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Board has three standing committees: an Audit Committee, a Compensation Committee and a Nominating and Corporate Governance Committee. The Board may from time to time establish other committees. Each of the committees has authority to engage legal counsel or other experts or consultants as it deems appropriate to carry out its responsibilities. The Board has determined that each member of its committees meets the applicable Nasdaq rules and regulations regarding independence and each member is free of any relationship that would impair his or her individual exercise of independent judgment with regard to Neuronetics. The following table provides the current committee membership for each of the Board committees.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 Corporate</w:t>
            </w:r>
          </w:p>
        </w:tc>
        <w:tc>
          <w:tcPr>
            <w:tcW w:w="0" w:type="dxa"/>
            <w:vAlign w:val="bottom"/>
          </w:tcPr>
          <w:p>
            <w:pPr>
              <w:spacing w:after="0"/>
              <w:rPr>
                <w:sz w:val="1"/>
                <w:szCs w:val="1"/>
                <w:color w:val="auto"/>
              </w:rPr>
            </w:pPr>
          </w:p>
        </w:tc>
      </w:tr>
      <w:tr>
        <w:trPr>
          <w:trHeight w:val="190"/>
        </w:trPr>
        <w:tc>
          <w:tcPr>
            <w:tcW w:w="512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50"/>
        </w:trPr>
        <w:tc>
          <w:tcPr>
            <w:tcW w:w="49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K. Bakewell</w:t>
            </w:r>
          </w:p>
        </w:tc>
        <w:tc>
          <w:tcPr>
            <w:tcW w:w="5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X</w:t>
            </w:r>
          </w:p>
        </w:tc>
        <w:tc>
          <w:tcPr>
            <w:tcW w:w="10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Chair</w:t>
            </w:r>
          </w:p>
        </w:tc>
        <w:tc>
          <w:tcPr>
            <w:tcW w:w="17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H. Capper</w:t>
            </w: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X</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A. Cascella</w:t>
            </w:r>
          </w:p>
        </w:tc>
        <w:tc>
          <w:tcPr>
            <w:tcW w:w="4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Sheryl L. Conley</w:t>
            </w: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X</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54"/>
        </w:trPr>
        <w:tc>
          <w:tcPr>
            <w:tcW w:w="4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Wilfred E. Jaeger, M.D.</w:t>
            </w:r>
          </w:p>
        </w:tc>
        <w:tc>
          <w:tcPr>
            <w:tcW w:w="4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7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Glenn P. Muir</w:t>
            </w: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Chair</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Megan Rosengarten</w:t>
            </w:r>
          </w:p>
        </w:tc>
        <w:tc>
          <w:tcPr>
            <w:tcW w:w="4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9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-1456690</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-1456690</wp:posOffset>
            </wp:positionV>
            <wp:extent cx="1028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-1456690</wp:posOffset>
            </wp:positionV>
            <wp:extent cx="1028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As of December 31, 2023, Ms. Conley and Messrs. Bakewell, Capper and Muir served as the members of the Audit Committee, with Mr. Muir serving as chair of the Audit Committee. The Board has determined that each of these individuals meets the independence requirements of the Sarbanes-Oxley Act of 2002, as amended (the “Sarbanes-Oxley Act”), Rule 10A-3 under the Exchange Act, and applicable Nasdaq listing standards. Each member of the Audit Committee can read and understand fundamental financial statements in accordance with Nasdaq audit committee requirements. In arriving at this determination, the Board has examined each Audit Committee member’s scope of experience and the nature of their prior and current employment.</w:t>
      </w:r>
    </w:p>
    <w:p>
      <w:pPr>
        <w:spacing w:after="0" w:line="81"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The Board has determined that each of Messrs. Bakewell, Capper and Muir qualifies as an audit committee financial expert within the meaning of SEC regulations and meets the financial sophistication requirements of Nasdaq. In making this determination, the Board has considered their formal education and previous and current experience in financial and accounting roles. Our independent registered public accounting firm regularly meets with the Audit Committee in executive session.</w:t>
      </w:r>
    </w:p>
    <w:p>
      <w:pPr>
        <w:spacing w:after="0" w:line="1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Audit Committee include, among other things:</w:t>
      </w:r>
    </w:p>
    <w:p>
      <w:pPr>
        <w:spacing w:after="0" w:line="117" w:lineRule="exact"/>
        <w:rPr>
          <w:sz w:val="20"/>
          <w:szCs w:val="20"/>
          <w:color w:val="auto"/>
        </w:rPr>
      </w:pPr>
    </w:p>
    <w:p>
      <w:pPr>
        <w:ind w:left="1000" w:right="39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independence and qualifications of our independent auditors and determining whether to retain our existing independent auditors or engage new independent auditors;</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our independent auditors to perform audit services and any permissible non-audit services;</w:t>
      </w:r>
    </w:p>
    <w:p>
      <w:pPr>
        <w:spacing w:after="0" w:line="53"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our independent auditors on our engagement team as required by law;</w:t>
      </w:r>
    </w:p>
    <w:p>
      <w:pPr>
        <w:spacing w:after="0" w:line="53" w:lineRule="exact"/>
        <w:rPr>
          <w:rFonts w:ascii="Times New Roman" w:cs="Times New Roman" w:eastAsia="Times New Roman" w:hAnsi="Times New Roman"/>
          <w:sz w:val="18"/>
          <w:szCs w:val="18"/>
          <w:color w:val="auto"/>
        </w:rPr>
      </w:pPr>
    </w:p>
    <w:p>
      <w:pPr>
        <w:ind w:left="1000" w:right="53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engagement of any independent auditor, and at least annually thereafter, reviewing relationships that may reasonably be thought to bear on their independence, and assessing and otherwise taking the appropriate action to oversee the independence of our independent auditor;</w:t>
      </w:r>
    </w:p>
    <w:p>
      <w:pPr>
        <w:spacing w:after="0" w:line="67" w:lineRule="exact"/>
        <w:rPr>
          <w:rFonts w:ascii="Times New Roman" w:cs="Times New Roman" w:eastAsia="Times New Roman" w:hAnsi="Times New Roman"/>
          <w:sz w:val="18"/>
          <w:szCs w:val="18"/>
          <w:color w:val="auto"/>
        </w:rPr>
      </w:pPr>
    </w:p>
    <w:p>
      <w:pPr>
        <w:ind w:left="1000" w:right="539" w:hanging="348"/>
        <w:spacing w:after="0" w:line="289" w:lineRule="auto"/>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our annual and quarterly financial statements and reports, including the disclosures contained under the caption “Management’s Discussion and Analysis of Financial Condition and Results of Operations,” and discussing the statements and reports with our independent auditors and management;</w:t>
      </w:r>
    </w:p>
    <w:p>
      <w:pPr>
        <w:spacing w:after="0" w:line="49" w:lineRule="exact"/>
        <w:rPr>
          <w:rFonts w:ascii="Times New Roman" w:cs="Times New Roman" w:eastAsia="Times New Roman" w:hAnsi="Times New Roman"/>
          <w:sz w:val="17"/>
          <w:szCs w:val="17"/>
          <w:color w:val="auto"/>
        </w:rPr>
      </w:pPr>
    </w:p>
    <w:p>
      <w:pPr>
        <w:ind w:left="1000" w:right="31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auditors and management significant issues that arise regarding accounting principles and financial statement presentation and matters concerning the scope, adequacy and effectiveness of our financial controls;</w:t>
      </w:r>
    </w:p>
    <w:p>
      <w:pPr>
        <w:spacing w:after="0" w:line="67" w:lineRule="exact"/>
        <w:rPr>
          <w:rFonts w:ascii="Times New Roman" w:cs="Times New Roman" w:eastAsia="Times New Roman" w:hAnsi="Times New Roman"/>
          <w:sz w:val="18"/>
          <w:szCs w:val="18"/>
          <w:color w:val="auto"/>
        </w:rPr>
      </w:pPr>
    </w:p>
    <w:p>
      <w:pPr>
        <w:ind w:left="1000" w:right="14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auditors any earnings announcements and other public announcements regarding material developments;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65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financial controls, accounting or auditing matters and other matters;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that the SEC requires in our annual proxy statement;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of any related person transactions in accordance with our related person transaction policy and reviewing and monitoring compliance with legal and regulatory responsibilities, including our code of business conduct and ethics;</w:t>
      </w:r>
    </w:p>
    <w:p>
      <w:pPr>
        <w:spacing w:after="0" w:line="6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major financial risk exposures, including the guidelines and policies to govern the process by which risk assessment and risk management is implemented;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 periodic basis our investment policy; and</w:t>
      </w:r>
    </w:p>
    <w:p>
      <w:pPr>
        <w:spacing w:after="0" w:line="117"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54"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The Audit Committee charter is available on the Company’s website at ir.neuronetics.com. The Company believes that the composition and functioning of the Audit Committee complies with all applicable requirements of the Sarbanes-Oxley Act, and all applicable SEC and Nasdaq rules and regulations. We intend to comply with future requirements to the extent that they become applicable.</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300" w:right="519"/>
        <w:spacing w:after="0" w:line="256" w:lineRule="auto"/>
        <w:rPr>
          <w:sz w:val="20"/>
          <w:szCs w:val="20"/>
          <w:color w:val="auto"/>
        </w:rPr>
      </w:pPr>
      <w:r>
        <w:rPr>
          <w:rFonts w:ascii="Times New Roman" w:cs="Times New Roman" w:eastAsia="Times New Roman" w:hAnsi="Times New Roman"/>
          <w:sz w:val="18"/>
          <w:szCs w:val="18"/>
          <w:color w:val="auto"/>
        </w:rPr>
        <w:t>As of December 31, 2023, Messrs. Bakewell and Muir, Dr. Jaeger and Ms. Rosengarten served as the members of the Compensation Committee, with Mr. Bakewell serving as chair of the Compensation Committee. Each of these individuals is a non-employee director, as defined in Rule 16b-3 promulgated under the Exchange Act. The Board has determined that each of these individuals is independent as defined under applicable Nasdaq listing standards, including the standards specific to members of a compensation committee. The functions of the Compensation Committee include, among other things:</w:t>
      </w:r>
    </w:p>
    <w:p>
      <w:pPr>
        <w:spacing w:after="0" w:line="79" w:lineRule="exact"/>
        <w:rPr>
          <w:sz w:val="20"/>
          <w:szCs w:val="20"/>
          <w:color w:val="auto"/>
        </w:rPr>
      </w:pPr>
    </w:p>
    <w:p>
      <w:pPr>
        <w:ind w:left="1000" w:right="55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modifying and approving (or if it deems appropriate, making recommendations to the Board regarding) our overall executive compensation strategy and policies;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performance goals and objectives relevant to the compensation of our President and Chief Executive Officer and assessment of his or her performance against these goals and objectives;</w:t>
      </w:r>
    </w:p>
    <w:p>
      <w:pPr>
        <w:spacing w:after="0" w:line="67"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the compensation and other terms of employment of our President and Chief Executive Officer;</w:t>
      </w:r>
    </w:p>
    <w:p>
      <w:pPr>
        <w:spacing w:after="0" w:line="53"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if it deems appropriate, making recommendations to the Board regarding) the compensation and other terms of employment of our executive officers other than our President and Chief Executive Officer;</w:t>
      </w:r>
    </w:p>
    <w:p>
      <w:pPr>
        <w:spacing w:after="0" w:line="67" w:lineRule="exact"/>
        <w:rPr>
          <w:rFonts w:ascii="Times New Roman" w:cs="Times New Roman" w:eastAsia="Times New Roman" w:hAnsi="Times New Roman"/>
          <w:sz w:val="18"/>
          <w:szCs w:val="18"/>
          <w:color w:val="auto"/>
        </w:rPr>
      </w:pPr>
    </w:p>
    <w:p>
      <w:pPr>
        <w:jc w:val="both"/>
        <w:ind w:left="1000" w:right="53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(or if it deems appropriate, making recommendations to the Board regarding) performance goals and objectives relevant to the compensation of our executive officers other than our President and Chief Executive Officer and assessing their performance against these goals and objectives;</w:t>
      </w:r>
    </w:p>
    <w:p>
      <w:pPr>
        <w:spacing w:after="0" w:line="67"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if it deems it appropriate, making recommendations to the Board regarding) the equity incentive plans, compensation plans and similar programs advisable for us, as well as modifying, amending or terminating existing plans and programs;</w:t>
      </w:r>
    </w:p>
    <w:p>
      <w:pPr>
        <w:spacing w:after="0" w:line="67" w:lineRule="exact"/>
        <w:rPr>
          <w:rFonts w:ascii="Times New Roman" w:cs="Times New Roman" w:eastAsia="Times New Roman" w:hAnsi="Times New Roman"/>
          <w:sz w:val="18"/>
          <w:szCs w:val="18"/>
          <w:color w:val="auto"/>
        </w:rPr>
      </w:pPr>
    </w:p>
    <w:p>
      <w:pPr>
        <w:ind w:left="1000" w:right="6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risks associated with our compensation policies and practices and assessing whether risks arising from our compensation policies and practices for our employees are reasonably likely to have a material adverse effect on us;</w:t>
      </w:r>
    </w:p>
    <w:p>
      <w:pPr>
        <w:spacing w:after="0" w:line="6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the type and amount of compensation to be paid or awarded to our non-employee Board members;</w:t>
      </w:r>
    </w:p>
    <w:p>
      <w:pPr>
        <w:spacing w:after="0" w:line="53" w:lineRule="exact"/>
        <w:rPr>
          <w:rFonts w:ascii="Times New Roman" w:cs="Times New Roman" w:eastAsia="Times New Roman" w:hAnsi="Times New Roman"/>
          <w:sz w:val="18"/>
          <w:szCs w:val="18"/>
          <w:color w:val="auto"/>
        </w:rPr>
      </w:pPr>
    </w:p>
    <w:p>
      <w:pPr>
        <w:ind w:left="1000" w:right="499" w:hanging="348"/>
        <w:spacing w:after="0" w:line="26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with respect to votes by our stockholders to approve executive and director compensation to the extent required by Section 14A of the Exchange Act and, if applicable, determining our recommendations regarding the frequency of non-binding, advisory votes on executive and director compensation;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7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Exchange Act;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with respect to equity compensation arrangements;</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competitiveness of our executive and director compensation programs and evaluating the effectiveness of our compensation policy and strategy in achieving expected benefits to us;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(other than with respect to our President and Chief Executive Officer) or making recommendations to the Board regarding the terms of any employment agreements, severance arrangements, change in control protections and any other compensatory arrangements for our executive officers;</w:t>
      </w:r>
    </w:p>
    <w:p>
      <w:pPr>
        <w:spacing w:after="0" w:line="71" w:lineRule="exact"/>
        <w:rPr>
          <w:rFonts w:ascii="Times New Roman" w:cs="Times New Roman" w:eastAsia="Times New Roman" w:hAnsi="Times New Roman"/>
          <w:sz w:val="18"/>
          <w:szCs w:val="18"/>
          <w:color w:val="auto"/>
        </w:rPr>
      </w:pPr>
    </w:p>
    <w:p>
      <w:pPr>
        <w:jc w:val="both"/>
        <w:ind w:left="1000" w:right="43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approving our disclosures under the caption “Compensation Discussion and Analysis” in our periodic reports or proxy statements to be filed with the SEC, to the extent that such caption is included in any such report or proxy statement;</w:t>
      </w:r>
    </w:p>
    <w:p>
      <w:pPr>
        <w:spacing w:after="0" w:line="6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committee report to be filed in our annual proxy statement, to the extent such report is required by the SEC; and</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Compensation Committee and the Compensation Committee charter.</w:t>
      </w:r>
    </w:p>
    <w:p>
      <w:pPr>
        <w:spacing w:after="0" w:line="54"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In 2023, the Compensation Committee engaged Alpine Rewards, LLC (“Alpine”), a compensation consulting firm, to assess and make recommendations with respect to the amounts and types of compensation to provide our executives and non-employee directors. Alpine did not provide any other services to us during 2023 other than those for which it had been retained by the Compensation Committee.</w:t>
      </w:r>
    </w:p>
    <w:p>
      <w:pPr>
        <w:spacing w:after="0" w:line="72"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As part of the executive compensation process, the Compensation Committee reviewed compensation assessments prepared by Alpine comparing our executive compensation to that of a group of peer companies and met with Alpine to discuss compensation of our executive officers, including our President and Chief Executive Officer, and to receive Alpine’s input and advice. Our President and Chief Executive Officer also provided recommendations to the Compensation Committee regarding the form and amount of compensation to be paid to each executive officer, other than himself. In making final executive compensation decisions for our executive officers other than our President and Chief Executive Officer and a recommendation to the Board regarding the compensation to be paid to our President and Chief Executive Officer, the Compensation Committee considered the recommendations of Alpine and our President and Chief Executive Officer (other than with respect to himself), as well as other factors, such as the Company’s revenue growth, utilization and sales of our recurring treatment sessions, expense management, the form and amount of compensation to be paid, the achievement by the Company of performance objectives, the general performance of the Company and the individual officers, and other relevant factors.</w:t>
      </w:r>
    </w:p>
    <w:p>
      <w:pPr>
        <w:spacing w:after="0" w:line="82"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Final deliberations and decisions regarding executive compensation were made by the Compensation Committee and, in the case of compensation to be paid to our President and Chief Executive Officer, without the presence of any executive officer of the Company. In making final decisions regarding the compensation to be paid to our President and Chief Executive Officer, the Board considered the same factors and gave considerable weight to the recommendations of the Compensation Committee and Alpine. As part of the director compensation process, the Board considered the recommendations of Alpine and the Compensation Committee, as well as fees and other compensation paid to directors of a group of peer companies, the number of Board and committee meetings that our directors are expected to attend, and other factors that may be relevant.</w:t>
      </w:r>
    </w:p>
    <w:p>
      <w:pPr>
        <w:spacing w:after="0" w:line="84"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The Compensation Committee charter is available on the Company’s website at ir.neuronetics.com. We believe that the composition and functioning of the Compensation Committee complies with all SEC and Nasdaq rules and regulations. We intend to comply with future requirements to the extent that they become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As of December 31, 2023, Mr. Cascella and Ms. Conley served as the members of the Nominating and Corporate Governance Committee, with Ms. Conley serving as chair of the Nominating and Corporate Governance Committee. The Board has determined that each of these individuals is independent as defined under applicable Nasdaq listing standards and SEC rules and regulations. The functions of the Nominating and Corporate Governance Committee include, among other things:</w:t>
      </w:r>
    </w:p>
    <w:p>
      <w:pPr>
        <w:spacing w:after="0" w:line="75"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evaluating candidates to serve on the Board;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minimum qualifications for service on the Board;</w:t>
      </w:r>
    </w:p>
    <w:p>
      <w:pPr>
        <w:spacing w:after="0" w:line="11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director performance on the Board and applicable committees of the Board and determining whether continued service on the Board is appropriate;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nominating and recommending individuals for membership on the Board;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nominations by stockholders of candidates for election to the Board;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assessing the independence of members of the Board;</w:t>
      </w:r>
    </w:p>
    <w:p>
      <w:pPr>
        <w:spacing w:after="0" w:line="117"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principles and recommending to the Board any changes to such policies and principles;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with respect to management succession planning;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questions of possible conflicts of interest of directors as such questions arise;</w:t>
      </w:r>
    </w:p>
    <w:p>
      <w:pPr>
        <w:spacing w:after="0" w:line="117" w:lineRule="exact"/>
        <w:rPr>
          <w:rFonts w:ascii="Times New Roman" w:cs="Times New Roman" w:eastAsia="Times New Roman" w:hAnsi="Times New Roman"/>
          <w:sz w:val="18"/>
          <w:szCs w:val="18"/>
          <w:color w:val="auto"/>
        </w:rPr>
      </w:pPr>
    </w:p>
    <w:p>
      <w:pPr>
        <w:ind w:left="1000" w:right="599" w:hanging="348"/>
        <w:spacing w:after="0" w:line="289" w:lineRule="auto"/>
        <w:tabs>
          <w:tab w:leader="none" w:pos="10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adequacy and effectiveness of the Company’s compliance practices generally and the Company’s policies and procedures for ensuring compliance with legal, regulatory and quality systems requirements and ethical programs and policies as established by management and the Board; and</w:t>
      </w:r>
    </w:p>
    <w:p>
      <w:pPr>
        <w:spacing w:after="0" w:line="49" w:lineRule="exact"/>
        <w:rPr>
          <w:rFonts w:ascii="Times New Roman" w:cs="Times New Roman" w:eastAsia="Times New Roman" w:hAnsi="Times New Roman"/>
          <w:sz w:val="17"/>
          <w:szCs w:val="17"/>
          <w:color w:val="auto"/>
        </w:rPr>
      </w:pPr>
    </w:p>
    <w:p>
      <w:pPr>
        <w:ind w:left="1000" w:right="83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Nominating and Corporate Governance Committee charter and the performance of the Nominating and Corporate Governance Committee.</w:t>
      </w:r>
    </w:p>
    <w:p>
      <w:pPr>
        <w:spacing w:after="0" w:line="54"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also has the power and authority to consider recommendations for Board nominees and proposals submitted by the Company’s stockholders and to establish any policies, requirements, criteria and procedures in furtherance of the foregoing, including policies and procedures to facilitate stockholder communications with the Board, to recommend to the Board appropriate action on any such proposal or recommendation and to make any disclosures required by applicable law in the course of exercising its authority.</w:t>
      </w:r>
    </w:p>
    <w:p>
      <w:pPr>
        <w:spacing w:after="0" w:line="7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charter is available on the Company’s website at ir.neuronetics.com. We believe that the composition and functioning of the Nominating and Corporate Governance Committee complies with all SEC and Nasdaq rules and regulations. We intend to comply with future requirements to the extent that they become applicable to us.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NOMINATION OF DIRECTORS BY STOCKHOLDERS</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nominees recommended by our stockholders. A stockholder who wishes to recommend a director candidate for consideration by the Nominating and Corporate Governance Committee should send the recommendation to Neuronetics, Inc., 3222 Phoenixville Pike, Malvern, Pennsylvania 19355, Attention: Corporate Secretary, and we will forward it to the Nominating and Corporate Governance Committee. The recommendation must include a description of the candidate’s qualifications for board service, including all of the information that would be required to be disclosed pursuant to Item 404 of Regulation S-K promulgated by the SEC, as amended, the candidate’s written consent to be considered for nomination and to serve if nominated and elected, and addresses and telephone numbers for contacting the stockholder and the candidate for more information. A stockholder who wishes to nominate an individual as a candidate for election, rather than recommend the individual to the Nominating and Corporate Governance Committee as a nominee, must comply with the notice procedures set forth in our bylaws. See “Questions and Answers About These Proxy Materials and Voting—When are stockholder proposals and director nominations due for next year’s annual meeting?” for more information regarding these procedures. The Nominating and Corporate Governance Committee will consider and evaluate persons recommended by the stockholders in the same manner as it considers and evaluates other potential directors, including incumbent directors.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QUALIFICATIONS</w:t>
      </w:r>
    </w:p>
    <w:p>
      <w:pPr>
        <w:spacing w:after="0" w:line="121" w:lineRule="exact"/>
        <w:rPr>
          <w:sz w:val="20"/>
          <w:szCs w:val="20"/>
          <w:color w:val="auto"/>
        </w:rPr>
      </w:pPr>
    </w:p>
    <w:p>
      <w:pPr>
        <w:ind w:left="300" w:right="299"/>
        <w:spacing w:after="0" w:line="269" w:lineRule="auto"/>
        <w:rPr>
          <w:sz w:val="20"/>
          <w:szCs w:val="20"/>
          <w:color w:val="auto"/>
        </w:rPr>
      </w:pPr>
      <w:r>
        <w:rPr>
          <w:rFonts w:ascii="Times New Roman" w:cs="Times New Roman" w:eastAsia="Times New Roman" w:hAnsi="Times New Roman"/>
          <w:sz w:val="17"/>
          <w:szCs w:val="17"/>
          <w:color w:val="auto"/>
        </w:rPr>
        <w:t>The Board believes that its membership should consist of individuals with sufficiently diverse and independent backgrounds and with the appropriate expertise required to serve as a director of the Company. The Nominating and Corporate Governance Committee is responsible for ensuring that the Board meets this objective and is responsible for reviewing the qualifications of potential director candidates and recommending to the director candidates to be nominated for election to the Board. In evaluating director candidates and nominees, the Nominating and Corporate Governance Committee considers the following criteria: professional experience; education; skill; diversity; differences of viewpoint; other individual qualities and attributes that will positively contribute to the Board, including integrity and high ethical standards; industry experience; subject matter expertise; the ability to express opinions, ask difficult questions and make informed, independent judgments; and the ability to devote sufficient time to prepare for and attend Board meetings. The Nominating and Corporate Governance Committee does not assign specific weights to particular criteria, and no particular criterion is a prerequisite for any prospective nominee.</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(the “Code of Conduct”) applicable to all of our employees, executive officers and directors. The Code of Conduct is available on our website at ir.neuronetics.com. The Nominating and Corporate Governance Committee is responsible for overseeing the Code of Conduct and must approve any waivers of the Code of Conduct for employees, executive officers and directors. In addition, we intend to post on our website all disclosures that are required by law or applicable Nasdaq listing standards concerning any amendments to, or waivers from, any provision of the Code of Conduct.</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HEDGING</w:t>
      </w:r>
    </w:p>
    <w:p>
      <w:pPr>
        <w:spacing w:after="0" w:line="121" w:lineRule="exact"/>
        <w:rPr>
          <w:sz w:val="20"/>
          <w:szCs w:val="20"/>
          <w:color w:val="auto"/>
        </w:rPr>
      </w:pPr>
    </w:p>
    <w:p>
      <w:pPr>
        <w:jc w:val="both"/>
        <w:ind w:left="300" w:right="339"/>
        <w:spacing w:after="0" w:line="266" w:lineRule="auto"/>
        <w:rPr>
          <w:sz w:val="20"/>
          <w:szCs w:val="20"/>
          <w:color w:val="auto"/>
        </w:rPr>
      </w:pPr>
      <w:r>
        <w:rPr>
          <w:rFonts w:ascii="Times New Roman" w:cs="Times New Roman" w:eastAsia="Times New Roman" w:hAnsi="Times New Roman"/>
          <w:sz w:val="18"/>
          <w:szCs w:val="18"/>
          <w:color w:val="auto"/>
        </w:rPr>
        <w:t>The Company’s compliance and ethics manual prohibits any employee or director of the Company from engaging in short sales, transactions in put or call options, hedging transactions, margin accounts or other inherently speculative transactions with respect to the Company’s stock at any time.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The Board expects that the views of our stockholders will be heard by the Board and its committees or individual directors, as applicable, and that appropriate responses will be provided to stockholders on a timely basis. Stockholders wishing to formally communicate with the Board, any committee of the Board, the independent directors as a group or any individual director may send communications directly to us at Neuronetics, Inc., 3222 Phoenixville Pike, Malvern, Pennsylvania 19355, Attention: Corporate Secretary. All clearly marked written communications, other than unsolicited advertising or promotional materials, are logged and copied, and forwarded to the director(s) to whom the communication was addressed. The foregoing communication procedure does not apply to: (i) stockholder proposals pursuant to Exchange Act Rule 14a-8 and communications made in connection with such proposals; or (ii) service of process or any other notice in a legal proceeding.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21" w:lineRule="exact"/>
        <w:rPr>
          <w:sz w:val="20"/>
          <w:szCs w:val="20"/>
          <w:color w:val="auto"/>
        </w:rPr>
      </w:pPr>
    </w:p>
    <w:p>
      <w:pPr>
        <w:ind w:left="300" w:right="499"/>
        <w:spacing w:after="0" w:line="253"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2023 with management.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such firm’s independence. Based on the foregoing, the Audit Committee has recommended to the Board that the audited financial statements be included in the Company’s Annual Report on Form 10-K for the fiscal year ended December 31, 2023.</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John K. Bakewell</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Joseph H. Capper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Sheryl L. Conley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Glenn P. Muir (Chair)</w:t>
      </w:r>
    </w:p>
    <w:p>
      <w:pPr>
        <w:spacing w:after="0" w:line="95" w:lineRule="exact"/>
        <w:rPr>
          <w:sz w:val="20"/>
          <w:szCs w:val="20"/>
          <w:color w:val="auto"/>
        </w:rPr>
      </w:pPr>
    </w:p>
    <w:p>
      <w:pPr>
        <w:jc w:val="both"/>
        <w:ind w:left="30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material in this report is not “soliciting material,” is not deemed “filed” with the Securities and Exchange Commission and is not to be incorporated by reference in any filing of the Company under the Securities Act of 1933, as amended (the “Securities Act”) or the Exchange Act, whether made before or after the date hereof and irrespective of any general incorporation language in any such filing.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2 -</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99"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The Audit Committee has selected KPMG as our independent registered public accounting firm for the year ending December 31, 2024 and has further directed that management submit the selection of its independent registered public accounting firm for ratification by the stockholders at the Annual Meeting.</w:t>
      </w:r>
    </w:p>
    <w:p>
      <w:pPr>
        <w:spacing w:after="0" w:line="68"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KPMG currently serves as our independent registered public accounting firm and audited our financial statements for the year ended December 31, 2023. KPMG has served as our auditors since 2003. KPMG does not have and has not had any financial interest, direct or indirect, in the Company, and does not have and has not had any connection with the Company except in its professional capacity as our independent auditors.</w:t>
      </w:r>
    </w:p>
    <w:p>
      <w:pPr>
        <w:spacing w:after="0" w:line="72"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The Audit Committee and the Board believe that the continued retention of KPMG to serve as our independent registered public accounting firm is in the best interests of the Company and our stockholders. As a matter of good corporate governance, we are asking stockholders to ratify such selection. If this selection is not ratified at the Annual Meeting, the Audit Committee intends to reconsider its selection of KPMG. Even if the selection is ratified, the Audit Committee in its sole discretion may direct the selection of a different independent registered public accounting firm at any time during the fiscal year if the Audit Committee determines that such a change would be in the best interests of the Company and our stockholders.</w:t>
      </w:r>
    </w:p>
    <w:p>
      <w:pPr>
        <w:spacing w:after="0" w:line="81"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Audit and non-audit services to be provided by KPMG are subject to the prior approval of the Audit Committee. In general, the Audit Committee’s policy is to grant such approval where it determines that the non-audit services are not incompatible with maintaining the independent registered public accounting firm’s independence and there are costs or other efficiencies in obtaining such services from the independent registered public accounting firm as compared to other possible providers. Representatives of KPMG are expected to be present at the Annual Meeting, will have an opportunity to make a statement if they desire to do so, and will be available to respond to questions.</w:t>
      </w:r>
    </w:p>
    <w:p>
      <w:pPr>
        <w:spacing w:after="0" w:line="79"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The Audit Committee is directly responsible for appointing, compensating and providing oversight of the performance of our independent registered public accounting firm for the purpose of issuing audit reports and related work regarding our financial statements and the effectiveness of our internal control over financial reporting. The Audit Committee is also responsible for approving the audit fee of our independent registered public accounting firm.</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“For” votes from holders of a majority of the shares present in person or represented by proxy and entitled to vote on the matter at the Annual Meeting is required to ratify the selection of KPMG. Abstentions and broker non-votes will count towards a quorum but will have no effect on the outcome of Proposal 2.</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represents aggregate fees billed to us for the years ended December 31, 2023 and 2022, by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KPMG, our principal accountant:</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50"/>
        </w:trPr>
        <w:tc>
          <w:tcPr>
            <w:tcW w:w="66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r>
        <w:trPr>
          <w:trHeight w:val="227"/>
        </w:trPr>
        <w:tc>
          <w:tcPr>
            <w:tcW w:w="6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50"/>
        </w:trPr>
        <w:tc>
          <w:tcPr>
            <w:tcW w:w="66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r>
      <w:tr>
        <w:trPr>
          <w:trHeight w:val="35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735,958</w:t>
            </w:r>
          </w:p>
        </w:tc>
        <w:tc>
          <w:tcPr>
            <w:tcW w:w="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$647,608</w:t>
            </w:r>
          </w:p>
        </w:tc>
      </w:tr>
      <w:tr>
        <w:trPr>
          <w:trHeight w:val="27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gridSpan w:val="2"/>
          </w:tcPr>
          <w:p>
            <w:pPr>
              <w:spacing w:after="0"/>
              <w:rPr>
                <w:sz w:val="4"/>
                <w:szCs w:val="4"/>
                <w:color w:val="auto"/>
              </w:rPr>
            </w:pPr>
          </w:p>
        </w:tc>
      </w:tr>
      <w:tr>
        <w:trPr>
          <w:trHeight w:val="364"/>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294,500</w:t>
            </w:r>
          </w:p>
        </w:tc>
        <w:tc>
          <w:tcPr>
            <w:tcW w:w="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$103,501</w:t>
            </w:r>
          </w:p>
        </w:tc>
      </w:tr>
      <w:tr>
        <w:trPr>
          <w:trHeight w:val="27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68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gridSpan w:val="2"/>
          </w:tcPr>
          <w:p>
            <w:pPr>
              <w:spacing w:after="0"/>
              <w:rPr>
                <w:sz w:val="4"/>
                <w:szCs w:val="4"/>
                <w:color w:val="auto"/>
              </w:rPr>
            </w:pPr>
          </w:p>
        </w:tc>
      </w:tr>
      <w:tr>
        <w:trPr>
          <w:trHeight w:val="27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$1,030,458</w:t>
            </w:r>
          </w:p>
        </w:tc>
        <w:tc>
          <w:tcPr>
            <w:tcW w:w="1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$751,109</w:t>
            </w:r>
          </w:p>
        </w:tc>
      </w:tr>
      <w:tr>
        <w:trPr>
          <w:trHeight w:val="54"/>
        </w:trPr>
        <w:tc>
          <w:tcPr>
            <w:tcW w:w="66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-1088390</wp:posOffset>
            </wp:positionV>
            <wp:extent cx="120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-1088390</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359" w:hanging="348"/>
        <w:spacing w:after="0" w:line="24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2023 and 2022, the aggregate audit fees billed for professional services rendered for audits and quarterly reviews of our financial statements and procedures required for filings with the SEC. Audit fees also include out-of-pocket expenses associated with the annual audit and related quarterly reviews.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consist of fees for tax consultation and compliance services.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Pre-Approval Procedures</w:t>
      </w:r>
    </w:p>
    <w:p>
      <w:pPr>
        <w:spacing w:after="0" w:line="121"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The Audit Committee pre-approves audit and non-audit services rendered by our independent registered public accounting firm, KPMG. The Audit Committee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w:t>
      </w:r>
    </w:p>
    <w:p>
      <w:pPr>
        <w:spacing w:after="0" w:line="75" w:lineRule="exact"/>
        <w:rPr>
          <w:sz w:val="20"/>
          <w:szCs w:val="20"/>
          <w:color w:val="auto"/>
        </w:rPr>
      </w:pPr>
    </w:p>
    <w:p>
      <w:pPr>
        <w:ind w:left="300" w:right="1119"/>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KPMG is compatible with maintaining the principal accountant’s independence.</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PROPOSAL 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sets forth certain information relating to the beneficial ownership of our common stock as of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Record Date by:</w:t>
      </w:r>
    </w:p>
    <w:p>
      <w:pPr>
        <w:spacing w:after="0" w:line="99" w:lineRule="exact"/>
        <w:rPr>
          <w:sz w:val="20"/>
          <w:szCs w:val="20"/>
          <w:color w:val="auto"/>
        </w:rPr>
      </w:pPr>
    </w:p>
    <w:p>
      <w:pPr>
        <w:ind w:left="1000" w:right="99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outstanding shares of common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each nominee for director and each of our Named Executive Officers;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Named Executive Officers as a group.</w:t>
      </w:r>
    </w:p>
    <w:p>
      <w:pPr>
        <w:spacing w:after="0" w:line="117"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Beneficial ownership is based upon 29,974,617 shares of common stock issued and outstanding as of 5:00 p.m. Eastern Time on the Record Date and determined in accordance with the rules of the SEC and generally includes any shares over which a person exercises sole or shared voting or investment power. Unless otherwise indicated, we believe that the persons or entities identified in this table have sole voting and investment power with respect to all shares shown beneficially owned by them, subject to applicable community property laws. Shares of common stock issuable upon vesting of outstanding equity awards that are exercisable or subject to vesting within 60 days after the Record Date are deemed beneficially owned, and such shares are used in computing the percentage ownership of the person holding the awards but are not deemed outstanding for the purpose of computing the percentage ownership of any other person. The information contained in the following table is not necessarily indicative of beneficial ownership for any other purpose, and the inclusion of any shares in the table does not constitute an admission of beneficial ownership of those shares.</w:t>
      </w:r>
    </w:p>
    <w:p>
      <w:pPr>
        <w:spacing w:after="0" w:line="84" w:lineRule="exact"/>
        <w:rPr>
          <w:sz w:val="20"/>
          <w:szCs w:val="20"/>
          <w:color w:val="auto"/>
        </w:rPr>
      </w:pPr>
    </w:p>
    <w:p>
      <w:pPr>
        <w:ind w:left="300" w:right="1199"/>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of each director and executive officer is c/o Neuronetics, Inc., 3222 Phoenixville Pike, Malvern, Pennsylvania 19355.</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and Percentage of</w:t>
            </w:r>
          </w:p>
        </w:tc>
      </w:tr>
      <w:tr>
        <w:trPr>
          <w:trHeight w:val="148"/>
        </w:trPr>
        <w:tc>
          <w:tcPr>
            <w:tcW w:w="12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Beneficially</w:t>
            </w:r>
          </w:p>
        </w:tc>
      </w:tr>
      <w:tr>
        <w:trPr>
          <w:trHeight w:val="190"/>
        </w:trPr>
        <w:tc>
          <w:tcPr>
            <w:tcW w:w="128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20" w:type="dxa"/>
            <w:vAlign w:val="bottom"/>
          </w:tcPr>
          <w:p>
            <w:pPr>
              <w:spacing w:after="0"/>
              <w:rPr>
                <w:sz w:val="16"/>
                <w:szCs w:val="16"/>
                <w:color w:val="auto"/>
              </w:rPr>
            </w:pPr>
          </w:p>
        </w:tc>
      </w:tr>
      <w:tr>
        <w:trPr>
          <w:trHeight w:val="51"/>
        </w:trPr>
        <w:tc>
          <w:tcPr>
            <w:tcW w:w="1280" w:type="dxa"/>
            <w:vAlign w:val="bottom"/>
          </w:tcPr>
          <w:p>
            <w:pPr>
              <w:spacing w:after="0"/>
              <w:rPr>
                <w:sz w:val="4"/>
                <w:szCs w:val="4"/>
                <w:color w:val="auto"/>
              </w:rPr>
            </w:pPr>
          </w:p>
        </w:tc>
        <w:tc>
          <w:tcPr>
            <w:tcW w:w="5360" w:type="dxa"/>
            <w:vAlign w:val="bottom"/>
            <w:gridSpan w:val="2"/>
          </w:tcPr>
          <w:p>
            <w:pPr>
              <w:spacing w:after="0"/>
              <w:rPr>
                <w:sz w:val="4"/>
                <w:szCs w:val="4"/>
                <w:color w:val="auto"/>
              </w:rPr>
            </w:pPr>
          </w:p>
        </w:tc>
        <w:tc>
          <w:tcPr>
            <w:tcW w:w="1160" w:type="dxa"/>
            <w:vAlign w:val="bottom"/>
            <w:tcBorders>
              <w:bottom w:val="single" w:sz="8" w:color="auto"/>
            </w:tcBorders>
            <w:gridSpan w:val="3"/>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27"/>
        </w:trPr>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1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50"/>
        </w:trPr>
        <w:tc>
          <w:tcPr>
            <w:tcW w:w="1280" w:type="dxa"/>
            <w:vAlign w:val="bottom"/>
            <w:tcBorders>
              <w:bottom w:val="single" w:sz="8" w:color="auto"/>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372"/>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or greater stockholders:</w:t>
            </w:r>
            <w:r>
              <w:rPr>
                <w:rFonts w:ascii="Times New Roman" w:cs="Times New Roman" w:eastAsia="Times New Roman" w:hAnsi="Times New Roman"/>
                <w:sz w:val="29"/>
                <w:szCs w:val="29"/>
                <w:b w:val="1"/>
                <w:bCs w:val="1"/>
                <w:color w:val="auto"/>
                <w:vertAlign w:val="superscript"/>
              </w:rPr>
              <w:t>(1)</w:t>
            </w: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365"/>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Cannell Capital LLC</w:t>
            </w:r>
            <w:r>
              <w:rPr>
                <w:rFonts w:ascii="Times New Roman" w:cs="Times New Roman" w:eastAsia="Times New Roman" w:hAnsi="Times New Roman"/>
                <w:sz w:val="29"/>
                <w:szCs w:val="29"/>
                <w:color w:val="auto"/>
                <w:vertAlign w:val="superscript"/>
              </w:rPr>
              <w:t>(a)</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2,769,268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364"/>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Archon Capital Management LLC</w:t>
            </w:r>
            <w:r>
              <w:rPr>
                <w:rFonts w:ascii="Times New Roman" w:cs="Times New Roman" w:eastAsia="Times New Roman" w:hAnsi="Times New Roman"/>
                <w:sz w:val="29"/>
                <w:szCs w:val="29"/>
                <w:color w:val="auto"/>
                <w:vertAlign w:val="superscript"/>
              </w:rPr>
              <w:t>(b)</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2,537,097</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0"/>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54"/>
        </w:trPr>
        <w:tc>
          <w:tcPr>
            <w:tcW w:w="1280" w:type="dxa"/>
            <w:vAlign w:val="bottom"/>
          </w:tcPr>
          <w:p>
            <w:pPr>
              <w:spacing w:after="0"/>
              <w:rPr>
                <w:sz w:val="4"/>
                <w:szCs w:val="4"/>
                <w:color w:val="auto"/>
              </w:rPr>
            </w:pPr>
          </w:p>
        </w:tc>
        <w:tc>
          <w:tcPr>
            <w:tcW w:w="5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65"/>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J. Sullivan</w:t>
            </w:r>
            <w:r>
              <w:rPr>
                <w:rFonts w:ascii="Times New Roman" w:cs="Times New Roman" w:eastAsia="Times New Roman" w:hAnsi="Times New Roman"/>
                <w:sz w:val="29"/>
                <w:szCs w:val="29"/>
                <w:color w:val="auto"/>
                <w:vertAlign w:val="superscript"/>
              </w:rPr>
              <w:t>(2)</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1,520,944</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64"/>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Stephen Furlong</w:t>
            </w:r>
            <w:r>
              <w:rPr>
                <w:rFonts w:ascii="Times New Roman" w:cs="Times New Roman" w:eastAsia="Times New Roman" w:hAnsi="Times New Roman"/>
                <w:sz w:val="29"/>
                <w:szCs w:val="29"/>
                <w:color w:val="auto"/>
                <w:vertAlign w:val="superscript"/>
              </w:rPr>
              <w:t>(3)</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372,719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65"/>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 Andrew Macan</w:t>
            </w:r>
            <w:r>
              <w:rPr>
                <w:rFonts w:ascii="Times New Roman" w:cs="Times New Roman" w:eastAsia="Times New Roman" w:hAnsi="Times New Roman"/>
                <w:sz w:val="29"/>
                <w:szCs w:val="29"/>
                <w:color w:val="auto"/>
                <w:vertAlign w:val="superscript"/>
              </w:rPr>
              <w:t>(4)</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180,464</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K. Bakewell</w:t>
            </w:r>
            <w:r>
              <w:rPr>
                <w:rFonts w:ascii="Times New Roman" w:cs="Times New Roman" w:eastAsia="Times New Roman" w:hAnsi="Times New Roman"/>
                <w:sz w:val="29"/>
                <w:szCs w:val="29"/>
                <w:color w:val="auto"/>
                <w:vertAlign w:val="superscript"/>
              </w:rPr>
              <w:t>(5)</w:t>
            </w: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114,352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A. Cascella</w:t>
            </w:r>
            <w:r>
              <w:rPr>
                <w:rFonts w:ascii="Times New Roman" w:cs="Times New Roman" w:eastAsia="Times New Roman" w:hAnsi="Times New Roman"/>
                <w:sz w:val="29"/>
                <w:szCs w:val="29"/>
                <w:color w:val="auto"/>
                <w:vertAlign w:val="superscript"/>
              </w:rPr>
              <w:t>(6)</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134,348</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64"/>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Sheryl L. Conley</w:t>
            </w:r>
            <w:r>
              <w:rPr>
                <w:rFonts w:ascii="Times New Roman" w:cs="Times New Roman" w:eastAsia="Times New Roman" w:hAnsi="Times New Roman"/>
                <w:sz w:val="29"/>
                <w:szCs w:val="29"/>
                <w:color w:val="auto"/>
                <w:vertAlign w:val="superscript"/>
              </w:rPr>
              <w:t>(7)</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121,576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Wilfred E. Jaeger, M.D.</w:t>
            </w:r>
            <w:r>
              <w:rPr>
                <w:rFonts w:ascii="Times New Roman" w:cs="Times New Roman" w:eastAsia="Times New Roman" w:hAnsi="Times New Roman"/>
                <w:sz w:val="29"/>
                <w:szCs w:val="29"/>
                <w:color w:val="auto"/>
                <w:vertAlign w:val="superscript"/>
              </w:rPr>
              <w:t>(8)</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154,665</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Glenn P. Muir</w:t>
            </w:r>
            <w:r>
              <w:rPr>
                <w:rFonts w:ascii="Times New Roman" w:cs="Times New Roman" w:eastAsia="Times New Roman" w:hAnsi="Times New Roman"/>
                <w:sz w:val="29"/>
                <w:szCs w:val="29"/>
                <w:color w:val="auto"/>
                <w:vertAlign w:val="superscript"/>
              </w:rPr>
              <w:t>(9)</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201,449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64"/>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Megan Rosengarten</w:t>
            </w:r>
            <w:r>
              <w:rPr>
                <w:rFonts w:ascii="Times New Roman" w:cs="Times New Roman" w:eastAsia="Times New Roman" w:hAnsi="Times New Roman"/>
                <w:sz w:val="29"/>
                <w:szCs w:val="29"/>
                <w:color w:val="auto"/>
                <w:vertAlign w:val="superscript"/>
              </w:rPr>
              <w:t>(10)</w:t>
            </w:r>
          </w:p>
        </w:tc>
        <w:tc>
          <w:tcPr>
            <w:tcW w:w="9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85,890</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Joseph H. Capper</w:t>
            </w:r>
            <w:r>
              <w:rPr>
                <w:rFonts w:ascii="Times New Roman" w:cs="Times New Roman" w:eastAsia="Times New Roman" w:hAnsi="Times New Roman"/>
                <w:sz w:val="29"/>
                <w:szCs w:val="29"/>
                <w:color w:val="auto"/>
                <w:vertAlign w:val="superscript"/>
              </w:rPr>
              <w:t>(11)</w:t>
            </w: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43,147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6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2,929,554</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54"/>
        </w:trPr>
        <w:tc>
          <w:tcPr>
            <w:tcW w:w="1280" w:type="dxa"/>
            <w:vAlign w:val="bottom"/>
            <w:tcBorders>
              <w:bottom w:val="single" w:sz="8" w:color="auto"/>
            </w:tcBorders>
          </w:tcPr>
          <w:p>
            <w:pPr>
              <w:spacing w:after="0"/>
              <w:rPr>
                <w:sz w:val="4"/>
                <w:szCs w:val="4"/>
                <w:color w:val="auto"/>
              </w:rPr>
            </w:pPr>
          </w:p>
        </w:tc>
        <w:tc>
          <w:tcPr>
            <w:tcW w:w="5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-3479800</wp:posOffset>
            </wp:positionV>
            <wp:extent cx="857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-3479800</wp:posOffset>
            </wp:positionV>
            <wp:extent cx="857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1" w:lineRule="exact"/>
        <w:rPr>
          <w:sz w:val="20"/>
          <w:szCs w:val="20"/>
          <w:color w:val="auto"/>
        </w:rPr>
      </w:pPr>
    </w:p>
    <w:p>
      <w:pPr>
        <w:ind w:left="640" w:hanging="34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beneficial ownership of less than 1% of the shares of common stock outstanding.</w:t>
      </w:r>
    </w:p>
    <w:p>
      <w:pPr>
        <w:spacing w:after="0" w:line="42" w:lineRule="exact"/>
        <w:rPr>
          <w:sz w:val="20"/>
          <w:szCs w:val="20"/>
          <w:color w:val="auto"/>
        </w:rPr>
      </w:pPr>
    </w:p>
    <w:p>
      <w:pPr>
        <w:ind w:left="640" w:right="37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number of shares reported by the 5% or greater stockholders on Schedule 13D, 13G or Form 4 filed with the SEC as of 5:00 p.m. Eastern Time on the Record Date.</w:t>
      </w:r>
    </w:p>
    <w:p>
      <w:pPr>
        <w:jc w:val="both"/>
        <w:ind w:left="1000" w:right="439" w:hanging="348"/>
        <w:spacing w:after="0" w:line="241" w:lineRule="auto"/>
        <w:tabs>
          <w:tab w:leader="none" w:pos="100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 Carlo Cannell is the managing member of Cannell Capital, LLC. As such, he possesses the sole power to vote and dispose of the shares beneficially owned by Cannell Capital, LLC. The address of this limited liability corporation is 245 Meriwether Circle, Alta, WY 83414.</w:t>
      </w:r>
    </w:p>
    <w:p>
      <w:pPr>
        <w:spacing w:after="0" w:line="14" w:lineRule="exact"/>
        <w:rPr>
          <w:rFonts w:ascii="Times New Roman" w:cs="Times New Roman" w:eastAsia="Times New Roman" w:hAnsi="Times New Roman"/>
          <w:sz w:val="14"/>
          <w:szCs w:val="14"/>
          <w:color w:val="auto"/>
        </w:rPr>
      </w:pPr>
    </w:p>
    <w:p>
      <w:pPr>
        <w:ind w:left="1000" w:right="339" w:hanging="348"/>
        <w:spacing w:after="0" w:line="227" w:lineRule="auto"/>
        <w:tabs>
          <w:tab w:leader="none" w:pos="100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Constantinos Christofilis is the managing member of Archon Capital Management LLC and he may be deemed to have shared power to vote and dispose of the shares held by Archon Capital Management LLC. The address of the limited liability corporation is 1100 19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Avenue E, Seattle, Washington 98112.</w:t>
      </w:r>
    </w:p>
    <w:p>
      <w:pPr>
        <w:spacing w:after="0" w:line="1" w:lineRule="exact"/>
        <w:rPr>
          <w:rFonts w:ascii="Times New Roman" w:cs="Times New Roman" w:eastAsia="Times New Roman" w:hAnsi="Times New Roman"/>
          <w:sz w:val="14"/>
          <w:szCs w:val="14"/>
          <w:color w:val="auto"/>
        </w:rPr>
      </w:pPr>
    </w:p>
    <w:p>
      <w:pPr>
        <w:ind w:left="640" w:right="359" w:hanging="348"/>
        <w:spacing w:after="0" w:line="230"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662,611 shares of common stock and 858,333 shares of common stock issuable upon exercise of outstanding options. Does not include 41,667 shares of common stock issuable upon exercise of outstanding options which have not yet vested, awards of restricted stock units representing 709,667 shares of our common stock which have not yet vested, or awards of performance restricted stock units representing 350,000 shares of common stock which have not vested.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379" w:hanging="348"/>
        <w:spacing w:after="0" w:line="24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254,874 shares of common stock and 117,845 shares of common stock issuable upon exercise of outstanding options. Does not include awards of restricted stock units representing 243,902 shares of our common stock which have not yet vested, or awards of performance restricted stock units representing 35,000 shares of common stock which not vested.</w:t>
      </w:r>
    </w:p>
    <w:p>
      <w:pPr>
        <w:spacing w:after="0" w:line="14" w:lineRule="exact"/>
        <w:rPr>
          <w:rFonts w:ascii="Times New Roman" w:cs="Times New Roman" w:eastAsia="Times New Roman" w:hAnsi="Times New Roman"/>
          <w:sz w:val="14"/>
          <w:szCs w:val="14"/>
          <w:color w:val="auto"/>
        </w:rPr>
      </w:pPr>
    </w:p>
    <w:p>
      <w:pPr>
        <w:ind w:left="640" w:right="359" w:hanging="348"/>
        <w:spacing w:after="0" w:line="24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180,464 shares of common stock. Does not include awards of restricted stock units representing 223,869 shares of our common stock which have not yet vested or awards of performance restricted stock units representing 10,000 shares of common stock which have not vested.</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77,988 shares of common stock and restricted stock units representing 36,364 shares of our common stock.</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88,893 shares of common stock and restricted stock units representing 45,455 shares of our common stock.</w:t>
      </w:r>
    </w:p>
    <w:p>
      <w:pPr>
        <w:spacing w:after="0" w:line="41" w:lineRule="exact"/>
        <w:rPr>
          <w:rFonts w:ascii="Times New Roman" w:cs="Times New Roman" w:eastAsia="Times New Roman" w:hAnsi="Times New Roman"/>
          <w:sz w:val="14"/>
          <w:szCs w:val="14"/>
          <w:color w:val="auto"/>
        </w:rPr>
      </w:pPr>
    </w:p>
    <w:p>
      <w:pPr>
        <w:ind w:left="640" w:right="57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78,582 shares of common stock, 6,630 shares of common stock issuable upon exercise of outstanding options and restricted stock units representing 36,364 shares of our common stock.</w:t>
      </w:r>
    </w:p>
    <w:p>
      <w:pPr>
        <w:ind w:left="640" w:right="43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102,199 shares of common stock, 16,102 shares of common stock issuable upon exercise of outstanding options and restricted stock units representing 36,364 shares of our common stock.</w:t>
      </w:r>
    </w:p>
    <w:p>
      <w:pPr>
        <w:ind w:left="640" w:right="43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128,283 shares of common stock, 36,802 shares of common stock issuable upon exercise of outstanding options and restricted stock units representing 36,364 shares of our common stock.</w:t>
      </w: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49,526 shares of common stock and restricted stock units representing 36,364 shares of our common stock.</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6,783 shares of common stock and restricted stock units representing 36,364 shares of our common stock.</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OF THE COMPANY</w:t>
      </w:r>
    </w:p>
    <w:p>
      <w:pPr>
        <w:spacing w:after="0" w:line="121"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our executive officers, including their ages, as of April 11, 2024.</w:t>
      </w:r>
    </w:p>
    <w:p>
      <w:pPr>
        <w:spacing w:after="0" w:line="12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470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50"/>
        </w:trPr>
        <w:tc>
          <w:tcPr>
            <w:tcW w:w="32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700" w:type="dxa"/>
            <w:vAlign w:val="bottom"/>
            <w:tcBorders>
              <w:bottom w:val="single" w:sz="8" w:color="auto"/>
            </w:tcBorders>
          </w:tcPr>
          <w:p>
            <w:pPr>
              <w:spacing w:after="0"/>
              <w:rPr>
                <w:sz w:val="4"/>
                <w:szCs w:val="4"/>
                <w:color w:val="auto"/>
              </w:rPr>
            </w:pPr>
          </w:p>
        </w:tc>
      </w:tr>
      <w:tr>
        <w:trPr>
          <w:trHeight w:val="311"/>
        </w:trPr>
        <w:tc>
          <w:tcPr>
            <w:tcW w:w="3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J. Sullivan</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80" w:type="dxa"/>
            <w:vAlign w:val="bottom"/>
            <w:tcBorders>
              <w:bottom w:val="single" w:sz="8" w:color="CCEEFF"/>
            </w:tcBorders>
            <w:shd w:val="clear" w:color="auto" w:fill="CCEEFF"/>
          </w:tcPr>
          <w:p>
            <w:pPr>
              <w:spacing w:after="0"/>
              <w:rPr>
                <w:sz w:val="24"/>
                <w:szCs w:val="24"/>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Furlong</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80" w:type="dxa"/>
            <w:vAlign w:val="bottom"/>
          </w:tcPr>
          <w:p>
            <w:pPr>
              <w:spacing w:after="0"/>
              <w:rPr>
                <w:sz w:val="23"/>
                <w:szCs w:val="23"/>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54"/>
        </w:trPr>
        <w:tc>
          <w:tcPr>
            <w:tcW w:w="3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4700" w:type="dxa"/>
            <w:vAlign w:val="bottom"/>
          </w:tcPr>
          <w:p>
            <w:pPr>
              <w:spacing w:after="0"/>
              <w:rPr>
                <w:sz w:val="4"/>
                <w:szCs w:val="4"/>
                <w:color w:val="auto"/>
              </w:rPr>
            </w:pPr>
          </w:p>
        </w:tc>
      </w:tr>
      <w:tr>
        <w:trPr>
          <w:trHeight w:val="252"/>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 Andrew Macan</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80" w:type="dxa"/>
            <w:vAlign w:val="bottom"/>
            <w:shd w:val="clear" w:color="auto" w:fill="CCEEFF"/>
          </w:tcPr>
          <w:p>
            <w:pPr>
              <w:spacing w:after="0"/>
              <w:rPr>
                <w:sz w:val="21"/>
                <w:szCs w:val="21"/>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General Counsel, Chief Compliance</w:t>
            </w:r>
          </w:p>
        </w:tc>
      </w:tr>
      <w:tr>
        <w:trPr>
          <w:trHeight w:val="234"/>
        </w:trPr>
        <w:tc>
          <w:tcPr>
            <w:tcW w:w="3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 and Corporate Secretary</w:t>
            </w:r>
          </w:p>
        </w:tc>
      </w:tr>
      <w:tr>
        <w:trPr>
          <w:trHeight w:val="54"/>
        </w:trPr>
        <w:tc>
          <w:tcPr>
            <w:tcW w:w="32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7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-770890</wp:posOffset>
            </wp:positionV>
            <wp:extent cx="514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-770890</wp:posOffset>
            </wp:positionV>
            <wp:extent cx="514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Keith J. Sullivan</w:t>
      </w:r>
      <w:r>
        <w:rPr>
          <w:rFonts w:ascii="Times New Roman" w:cs="Times New Roman" w:eastAsia="Times New Roman" w:hAnsi="Times New Roman"/>
          <w:sz w:val="18"/>
          <w:szCs w:val="18"/>
          <w:color w:val="auto"/>
        </w:rPr>
        <w:t>’s biography appears in the “Proposal 1 – Election of Directors” section of this proxy statement.</w:t>
      </w:r>
    </w:p>
    <w:p>
      <w:pPr>
        <w:spacing w:after="0" w:line="117"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Furlong </w:t>
      </w:r>
      <w:r>
        <w:rPr>
          <w:rFonts w:ascii="Times New Roman" w:cs="Times New Roman" w:eastAsia="Times New Roman" w:hAnsi="Times New Roman"/>
          <w:sz w:val="18"/>
          <w:szCs w:val="18"/>
          <w:color w:val="auto"/>
        </w:rPr>
        <w:t>has served as our Executive Vice President, Chief Financial Officer and Treasurer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2023, from February 2021 to February 2023 as Senior Vice President, Chief Financial Officer and Treasurer, and from July 2019 to February 2021 as Vice President, Finance and Chief Financial Officer. Mr. Furlong served as a member of our Office of the President from March 2020 until July 2020. Prior to joining the Company, Mr. Furlong worked at Metabolon, a private life science company in metabolomics, a phenotyping technology for advancing biomarker discovery, diagnostic testing and precision medicine, from November 2017 to July 2019, where he most recently served as Senior Vice President of Finance and Corporate Secretary. Prior to joining Metabolon, Mr. Furlong was Vice President, Finance at Verscend Technologies from February 2017 to June 2017. From April 2015 to September 2016, he served as Chief Financial Officer of Rapid Micro Biosystems, which manufactures and distributes products for detection of microbial contamination. Before joining Rapid Micro Biosystems, Mr. Furlong spent 14 years at Hologic, a publicly traded medical technology company, where he held a number of roles of increasing responsibilities, most recently Senior Vice President, Finance and Sales Administration. Prior to his experience at Hologic, Mr. Furlong held positions at Safety 1st, Stratus Computer Inc., and Raytheon Company. Mr. Furlong received his B.A. in Political Science from The Pennsylvania State University and his Master of Finance degree from Bentley University.</w:t>
      </w:r>
    </w:p>
    <w:p>
      <w:pPr>
        <w:spacing w:after="0" w:line="75"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 Andrew Macan </w:t>
      </w:r>
      <w:r>
        <w:rPr>
          <w:rFonts w:ascii="Times New Roman" w:cs="Times New Roman" w:eastAsia="Times New Roman" w:hAnsi="Times New Roman"/>
          <w:sz w:val="18"/>
          <w:szCs w:val="18"/>
          <w:color w:val="auto"/>
        </w:rPr>
        <w:t>has served as our Executive Vice President, General Counsel, Compliance Officer and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Secretary since February 2023, and from January 2020 to February 2023 as Senior Vice President, General Counsel, Compliance Officer and Corporate Secretary. In January 2024, Mr. Macan also assumed responsibility for leading our Human Resources function. Mr. Macan served as a member of our Office of the President from March 2020 until July 2020. Prior to joining the Company, Mr. Macan was Senior Vice President, General Counsel and Corporate Secretary of U.S. Silica Holdings, Inc., a Russell 2000 diversified minerals company, from October 2018 until January 2020. He served in roles of increasing responsibility with Axalta Coating Systems, LLC, from October 2013 until October 2018, most recently as General Counsel and Chief Compliance Officer, Americas, and The Chubb Corporation, from October 2003 until October 2013, including as Vice President, Corporate Counsel and Secretary for over 8 years. Mr. Macan began his career in private practice at Ballard Spahr LLP and Dechert LLP. He earned a B.A. in Government from Franklin &amp; Marshall College and his J.D. from Emory University School of Law with distinction and Order of the Coif.</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As a smaller reporting company, we are not required to include a Compensation Discussion and Analysis in our executive compensation disclosure and have elected to comply with the reduced disclosure requirements applicable to smaller reporting companies.</w:t>
      </w:r>
    </w:p>
    <w:p>
      <w:pPr>
        <w:spacing w:after="0" w:line="68"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The following section describes the compensation that was earned by our Named Executive Officers. Our Named Executive Officers for 2023 were:</w:t>
      </w:r>
    </w:p>
    <w:p>
      <w:pPr>
        <w:spacing w:after="0" w:line="54" w:lineRule="exact"/>
        <w:rPr>
          <w:sz w:val="20"/>
          <w:szCs w:val="20"/>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Keith J. Sullivan, President and Chief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Furlong, Executive Vice President, Chief Financial Officer and Treasurer; and</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 Andrew Macan, Executive Vice President, General Counsel, Chief Compliance Officer and Corporate Secretary.</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Process</w:t>
      </w:r>
    </w:p>
    <w:p>
      <w:pPr>
        <w:spacing w:after="0" w:line="121" w:lineRule="exact"/>
        <w:rPr>
          <w:sz w:val="20"/>
          <w:szCs w:val="20"/>
          <w:color w:val="auto"/>
        </w:rPr>
      </w:pPr>
    </w:p>
    <w:p>
      <w:pPr>
        <w:ind w:left="300" w:right="459"/>
        <w:spacing w:after="0" w:line="255" w:lineRule="auto"/>
        <w:rPr>
          <w:sz w:val="20"/>
          <w:szCs w:val="20"/>
          <w:color w:val="auto"/>
        </w:rPr>
      </w:pPr>
      <w:r>
        <w:rPr>
          <w:rFonts w:ascii="Times New Roman" w:cs="Times New Roman" w:eastAsia="Times New Roman" w:hAnsi="Times New Roman"/>
          <w:sz w:val="18"/>
          <w:szCs w:val="18"/>
          <w:color w:val="auto"/>
        </w:rPr>
        <w:t>The Compensation Committee is responsible for the executive compensation program for our executive officers, including our Named Executive Officers, and reports to the Board on its discussions, decisions and other actions. The Compensation Committee has reviewed the corporate goals and objectives relating to the compensation of our President and Chief Executive Officer, evaluated the performance of our President and Chief Executive Officer in light of those goals and objectives and recommended to the Board the compensation of our President and Chief Executive Officer based on such evaluation. In addition, the Compensation Committee has reviewed and approved all compensation for our other executive officers, including our other Named Executive Officers.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total compensation for services rendered in all capacities that was earned by our Named Executive Officers for the fiscal years ended December 31, 2023 and 2022:</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5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580" w:type="dxa"/>
            <w:vAlign w:val="bottom"/>
            <w:gridSpan w:val="2"/>
            <w:vMerge w:val="continue"/>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2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3"/>
        </w:trPr>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00" w:type="dxa"/>
            <w:vAlign w:val="bottom"/>
            <w:gridSpan w:val="2"/>
          </w:tcPr>
          <w:p>
            <w:pPr>
              <w:jc w:val="center"/>
              <w:spacing w:after="0" w:line="163"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ind w:left="120"/>
              <w:spacing w:after="0" w:line="163"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4"/>
                <w:szCs w:val="14"/>
                <w:color w:val="auto"/>
              </w:rPr>
            </w:pPr>
          </w:p>
        </w:tc>
        <w:tc>
          <w:tcPr>
            <w:tcW w:w="48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4"/>
                <w:szCs w:val="14"/>
                <w:color w:val="auto"/>
              </w:rPr>
            </w:pPr>
          </w:p>
        </w:tc>
        <w:tc>
          <w:tcPr>
            <w:tcW w:w="92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(2)</w:t>
            </w:r>
          </w:p>
        </w:tc>
        <w:tc>
          <w:tcPr>
            <w:tcW w:w="120" w:type="dxa"/>
            <w:vAlign w:val="bottom"/>
          </w:tcPr>
          <w:p>
            <w:pPr>
              <w:spacing w:after="0"/>
              <w:rPr>
                <w:sz w:val="14"/>
                <w:szCs w:val="14"/>
                <w:color w:val="auto"/>
              </w:rPr>
            </w:pPr>
          </w:p>
        </w:tc>
        <w:tc>
          <w:tcPr>
            <w:tcW w:w="92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(3)</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90"/>
        </w:trPr>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4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w:t>
            </w: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w:t>
            </w:r>
          </w:p>
        </w:tc>
        <w:tc>
          <w:tcPr>
            <w:tcW w:w="0" w:type="dxa"/>
            <w:vAlign w:val="bottom"/>
          </w:tcPr>
          <w:p>
            <w:pPr>
              <w:spacing w:after="0"/>
              <w:rPr>
                <w:sz w:val="1"/>
                <w:szCs w:val="1"/>
                <w:color w:val="auto"/>
              </w:rPr>
            </w:pPr>
          </w:p>
        </w:tc>
      </w:tr>
      <w:tr>
        <w:trPr>
          <w:trHeight w:val="37"/>
        </w:trPr>
        <w:tc>
          <w:tcPr>
            <w:tcW w:w="19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J. Sullivan</w:t>
            </w:r>
          </w:p>
        </w:tc>
        <w:tc>
          <w:tcPr>
            <w:tcW w:w="60" w:type="dxa"/>
            <w:vAlign w:val="bottom"/>
            <w:shd w:val="clear" w:color="auto" w:fill="CCEEFF"/>
          </w:tcPr>
          <w:p>
            <w:pPr>
              <w:spacing w:after="0"/>
              <w:rPr>
                <w:sz w:val="21"/>
                <w:szCs w:val="21"/>
                <w:color w:val="auto"/>
              </w:rPr>
            </w:pPr>
          </w:p>
        </w:tc>
        <w:tc>
          <w:tcPr>
            <w:tcW w:w="4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$700,000</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8"/>
              </w:rPr>
              <w:t>$1,601,700</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$660,800</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$ 28,485</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$2,990,985</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60" w:type="dxa"/>
            <w:vAlign w:val="bottom"/>
            <w:shd w:val="clear" w:color="auto" w:fill="CCEEFF"/>
          </w:tcPr>
          <w:p>
            <w:pPr>
              <w:spacing w:after="0"/>
              <w:rPr>
                <w:sz w:val="18"/>
                <w:szCs w:val="18"/>
                <w:color w:val="auto"/>
              </w:rPr>
            </w:pPr>
          </w:p>
        </w:tc>
        <w:tc>
          <w:tcPr>
            <w:tcW w:w="42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7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$676,000</w:t>
            </w:r>
          </w:p>
        </w:tc>
        <w:tc>
          <w:tcPr>
            <w:tcW w:w="10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900,001</w:t>
            </w:r>
          </w:p>
        </w:tc>
        <w:tc>
          <w:tcPr>
            <w:tcW w:w="100" w:type="dxa"/>
            <w:vAlign w:val="bottom"/>
            <w:shd w:val="clear" w:color="auto" w:fill="CCEEFF"/>
          </w:tcPr>
          <w:p>
            <w:pPr>
              <w:spacing w:after="0"/>
              <w:rPr>
                <w:sz w:val="18"/>
                <w:szCs w:val="18"/>
                <w:color w:val="auto"/>
              </w:rPr>
            </w:pPr>
          </w:p>
        </w:tc>
        <w:tc>
          <w:tcPr>
            <w:tcW w:w="5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$841,620</w:t>
            </w:r>
          </w:p>
        </w:tc>
        <w:tc>
          <w:tcPr>
            <w:tcW w:w="12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$ 34,593</w:t>
            </w:r>
          </w:p>
        </w:tc>
        <w:tc>
          <w:tcPr>
            <w:tcW w:w="10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$2,452,214</w:t>
            </w:r>
          </w:p>
        </w:tc>
        <w:tc>
          <w:tcPr>
            <w:tcW w:w="0" w:type="dxa"/>
            <w:vAlign w:val="bottom"/>
          </w:tcPr>
          <w:p>
            <w:pPr>
              <w:spacing w:after="0"/>
              <w:rPr>
                <w:sz w:val="1"/>
                <w:szCs w:val="1"/>
                <w:color w:val="auto"/>
              </w:rPr>
            </w:pPr>
          </w:p>
        </w:tc>
      </w:tr>
      <w:tr>
        <w:trPr>
          <w:trHeight w:val="150"/>
        </w:trPr>
        <w:tc>
          <w:tcPr>
            <w:tcW w:w="19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60" w:type="dxa"/>
            <w:vAlign w:val="bottom"/>
            <w:shd w:val="clear" w:color="auto" w:fill="CCEEFF"/>
          </w:tcPr>
          <w:p>
            <w:pPr>
              <w:spacing w:after="0"/>
              <w:rPr>
                <w:sz w:val="13"/>
                <w:szCs w:val="13"/>
                <w:color w:val="auto"/>
              </w:rPr>
            </w:pPr>
          </w:p>
        </w:tc>
        <w:tc>
          <w:tcPr>
            <w:tcW w:w="420" w:type="dxa"/>
            <w:vAlign w:val="bottom"/>
            <w:tcBorders>
              <w:left w:val="single" w:sz="8" w:color="CCEEFF"/>
            </w:tcBorders>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96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tcBorders>
              <w:lef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99"/>
        </w:trPr>
        <w:tc>
          <w:tcPr>
            <w:tcW w:w="19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tcBorders>
              <w:lef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Furlong,</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$448,200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$56,025</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590,000</w:t>
            </w:r>
          </w:p>
        </w:tc>
        <w:tc>
          <w:tcPr>
            <w:tcW w:w="100" w:type="dxa"/>
            <w:vAlign w:val="bottom"/>
          </w:tcPr>
          <w:p>
            <w:pPr>
              <w:spacing w:after="0"/>
              <w:rPr>
                <w:sz w:val="19"/>
                <w:szCs w:val="19"/>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$170,316</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$ 96,844</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$1,361,385</w:t>
            </w:r>
          </w:p>
        </w:tc>
        <w:tc>
          <w:tcPr>
            <w:tcW w:w="0" w:type="dxa"/>
            <w:vAlign w:val="bottom"/>
          </w:tcPr>
          <w:p>
            <w:pPr>
              <w:spacing w:after="0"/>
              <w:rPr>
                <w:sz w:val="1"/>
                <w:szCs w:val="1"/>
                <w:color w:val="auto"/>
              </w:rPr>
            </w:pPr>
          </w:p>
        </w:tc>
      </w:tr>
      <w:tr>
        <w:trPr>
          <w:trHeight w:val="314"/>
        </w:trPr>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w w:val="98"/>
              </w:rPr>
              <w:t>Executive Vice President,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$430,975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$53,872</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560,003</w:t>
            </w:r>
          </w:p>
        </w:tc>
        <w:tc>
          <w:tcPr>
            <w:tcW w:w="100" w:type="dxa"/>
            <w:vAlign w:val="bottom"/>
          </w:tcPr>
          <w:p>
            <w:pPr>
              <w:spacing w:after="0"/>
              <w:rPr>
                <w:sz w:val="24"/>
                <w:szCs w:val="24"/>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$223,030</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$102,251</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$1,370,130</w:t>
            </w:r>
          </w:p>
        </w:tc>
        <w:tc>
          <w:tcPr>
            <w:tcW w:w="0" w:type="dxa"/>
            <w:vAlign w:val="bottom"/>
          </w:tcPr>
          <w:p>
            <w:pPr>
              <w:spacing w:after="0"/>
              <w:rPr>
                <w:sz w:val="1"/>
                <w:szCs w:val="1"/>
                <w:color w:val="auto"/>
              </w:rPr>
            </w:pPr>
          </w:p>
        </w:tc>
      </w:tr>
      <w:tr>
        <w:trPr>
          <w:trHeight w:val="231"/>
        </w:trPr>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2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Andrew Macan</w:t>
            </w:r>
          </w:p>
        </w:tc>
        <w:tc>
          <w:tcPr>
            <w:tcW w:w="4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$409,400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$51,175</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531,000</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$155,572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$ 13,556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$1,160,703</w:t>
            </w:r>
          </w:p>
        </w:tc>
        <w:tc>
          <w:tcPr>
            <w:tcW w:w="0" w:type="dxa"/>
            <w:vAlign w:val="bottom"/>
          </w:tcPr>
          <w:p>
            <w:pPr>
              <w:spacing w:after="0"/>
              <w:rPr>
                <w:sz w:val="1"/>
                <w:szCs w:val="1"/>
                <w:color w:val="auto"/>
              </w:rPr>
            </w:pPr>
          </w:p>
        </w:tc>
      </w:tr>
      <w:tr>
        <w:trPr>
          <w:trHeight w:val="216"/>
        </w:trPr>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w w:val="98"/>
              </w:rPr>
              <w:t>Executive Vice President,</w:t>
            </w:r>
          </w:p>
        </w:tc>
        <w:tc>
          <w:tcPr>
            <w:tcW w:w="4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2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i w:val="1"/>
                <w:iCs w:val="1"/>
                <w:color w:val="auto"/>
              </w:rPr>
              <w:t>General Counsel, Chief</w:t>
            </w:r>
          </w:p>
        </w:tc>
        <w:tc>
          <w:tcPr>
            <w:tcW w:w="420" w:type="dxa"/>
            <w:vAlign w:val="bottom"/>
            <w:tcBorders>
              <w:lef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20" w:type="dxa"/>
            <w:vAlign w:val="bottom"/>
            <w:gridSpan w:val="2"/>
            <w:vMerge w:val="continue"/>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$393,640</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$49,205</w:t>
            </w: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528,002</w:t>
            </w:r>
          </w:p>
        </w:tc>
        <w:tc>
          <w:tcPr>
            <w:tcW w:w="100" w:type="dxa"/>
            <w:vAlign w:val="bottom"/>
          </w:tcPr>
          <w:p>
            <w:pPr>
              <w:spacing w:after="0"/>
              <w:rPr>
                <w:sz w:val="10"/>
                <w:szCs w:val="10"/>
                <w:color w:val="auto"/>
              </w:rPr>
            </w:pPr>
          </w:p>
        </w:tc>
        <w:tc>
          <w:tcPr>
            <w:tcW w:w="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$203,709</w:t>
            </w:r>
          </w:p>
        </w:tc>
        <w:tc>
          <w:tcPr>
            <w:tcW w:w="120" w:type="dxa"/>
            <w:vAlign w:val="bottom"/>
          </w:tcPr>
          <w:p>
            <w:pPr>
              <w:spacing w:after="0"/>
              <w:rPr>
                <w:sz w:val="10"/>
                <w:szCs w:val="10"/>
                <w:color w:val="auto"/>
              </w:rPr>
            </w:pPr>
          </w:p>
        </w:tc>
        <w:tc>
          <w:tcPr>
            <w:tcW w:w="10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$1,174,556</w:t>
            </w:r>
          </w:p>
        </w:tc>
        <w:tc>
          <w:tcPr>
            <w:tcW w:w="0" w:type="dxa"/>
            <w:vAlign w:val="bottom"/>
          </w:tcPr>
          <w:p>
            <w:pPr>
              <w:spacing w:after="0"/>
              <w:rPr>
                <w:sz w:val="1"/>
                <w:szCs w:val="1"/>
                <w:color w:val="auto"/>
              </w:rPr>
            </w:pPr>
          </w:p>
        </w:tc>
      </w:tr>
      <w:tr>
        <w:trPr>
          <w:trHeight w:val="123"/>
        </w:trPr>
        <w:tc>
          <w:tcPr>
            <w:tcW w:w="2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i w:val="1"/>
                <w:iCs w:val="1"/>
                <w:color w:val="auto"/>
              </w:rPr>
              <w:t>Compliance Officer and</w:t>
            </w:r>
          </w:p>
        </w:tc>
        <w:tc>
          <w:tcPr>
            <w:tcW w:w="42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2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-563880</wp:posOffset>
            </wp:positionV>
            <wp:extent cx="5349240" cy="7200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72009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-1823720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-1823720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-1823720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-1823720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-1823720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-1823720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-1823720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-1823720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170180</wp:posOffset>
            </wp:positionV>
            <wp:extent cx="8229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92" w:lineRule="exact"/>
        <w:rPr>
          <w:sz w:val="20"/>
          <w:szCs w:val="20"/>
          <w:color w:val="auto"/>
        </w:rPr>
      </w:pPr>
    </w:p>
    <w:p>
      <w:pPr>
        <w:ind w:left="640" w:right="339" w:hanging="348"/>
        <w:spacing w:after="0" w:line="23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the options to purchase shares of our common stock and stock awards that may be settled for shares of our common stock granted to the Named Executive Officers in the covered fiscal years, calculated in accordance with the Financial Accounting Standard Board’s ASC Topic 718. Such grant date fair values do not take into account any estimated forfeitures related to service-vesting conditions. See Note 15 (Share Based Compensation) to our financial statements as included in our Annual Report on Form 10-K filed with the SEC on March 8, 2023 for the assumptions used in calculating the grant date fair value of the stock options and stock awards reported in these columns.</w:t>
      </w:r>
    </w:p>
    <w:p>
      <w:pPr>
        <w:spacing w:after="0" w:line="15" w:lineRule="exact"/>
        <w:rPr>
          <w:rFonts w:ascii="Times New Roman" w:cs="Times New Roman" w:eastAsia="Times New Roman" w:hAnsi="Times New Roman"/>
          <w:sz w:val="14"/>
          <w:szCs w:val="14"/>
          <w:color w:val="auto"/>
        </w:rPr>
      </w:pPr>
    </w:p>
    <w:p>
      <w:pPr>
        <w:ind w:left="640" w:right="75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amounts paid pursuant to our bonus program for each of the covered fiscal years. For a description of our fiscal 2023 bonus program, see “Narrative Disclosure to Summary Compensation Table” below.</w:t>
      </w:r>
    </w:p>
    <w:p>
      <w:pPr>
        <w:ind w:left="640" w:right="479" w:hanging="348"/>
        <w:spacing w:after="0" w:line="23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2023 and 2022, the amount reported for Mr. Sullivan includes payment of $14,929 and $12,332, respectively, for automobile commuting costs to spend business time at corporate headquarters in Malvern, PA, including $529 and $432, respectively for a gross-up payment to offset the tax liability. For the year ended December 31, 2023 and 2022, the amount reported for Mr. Sullivan also includes payment of $13,556 and $22,261, respectively, for travel and entertainment expense, including $3,301 and $4,800, respectively, for a gross-up payment to offset the tax liability. For the years ended December 31, 2023 and 2022, the amount reported for Mr. Furlong includes payment of $83,288 and $79,990, respectively, for relocation expenses associated with</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439"/>
        <w:spacing w:after="0"/>
        <w:rPr>
          <w:sz w:val="20"/>
          <w:szCs w:val="20"/>
          <w:color w:val="auto"/>
        </w:rPr>
      </w:pPr>
      <w:r>
        <w:rPr>
          <w:rFonts w:ascii="Times New Roman" w:cs="Times New Roman" w:eastAsia="Times New Roman" w:hAnsi="Times New Roman"/>
          <w:sz w:val="14"/>
          <w:szCs w:val="14"/>
          <w:color w:val="auto"/>
        </w:rPr>
        <w:t>travel to corporate headquarters, including $36,938 and $33,865, respectively, for a gross-up payment to offset the tax liability incurred in connection with such expenses. For the years ended December 31, 2023 and 2022, the amount reported for Mr. Furlong also includes payment of $13,556 and $22,261, respectively, for travel and entertainment expenses, including $3,979 and $4,800, respectively, for a gross-up payment to offset the tax liability incurred in connection with such expenses. Such amount is to be repaid to the Company if Mr. Furlong terminates his employment with us voluntarily or his employment is terminated for cause within 24 months of the effective date of his employment. For the year ended December 31, 2023, the amount reported for Mr. Macan includes payment of $13,556, for travel and entertainment expenses, including $3,726 for a gross-up payment to offset the tax liability incurred in connection with such expenses.</w:t>
      </w:r>
    </w:p>
    <w:p>
      <w:pPr>
        <w:spacing w:after="0" w:line="3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Disclosure to 2023 Summary Compensation Table</w:t>
      </w:r>
    </w:p>
    <w:p>
      <w:pPr>
        <w:spacing w:after="0" w:line="121" w:lineRule="exact"/>
        <w:rPr>
          <w:sz w:val="20"/>
          <w:szCs w:val="20"/>
          <w:color w:val="auto"/>
        </w:rPr>
      </w:pPr>
    </w:p>
    <w:p>
      <w:pPr>
        <w:ind w:left="300" w:right="999"/>
        <w:spacing w:after="0" w:line="282" w:lineRule="auto"/>
        <w:rPr>
          <w:sz w:val="20"/>
          <w:szCs w:val="20"/>
          <w:color w:val="auto"/>
        </w:rPr>
      </w:pPr>
      <w:r>
        <w:rPr>
          <w:rFonts w:ascii="Times New Roman" w:cs="Times New Roman" w:eastAsia="Times New Roman" w:hAnsi="Times New Roman"/>
          <w:sz w:val="18"/>
          <w:szCs w:val="18"/>
          <w:color w:val="auto"/>
        </w:rPr>
        <w:t>The compensation of our Named Executive Officers generally consists of base salary, an annual non-equity incentive opportunity and long-term incentive compensation in the form of equity awards.</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Compensation Committee reviews the base salaries of our executive officers, including our Named Executive Officers, from time to time and makes adjustments (or, in the case of our President and Chief Executive Officer, may recommend adjustments for approval by the Board) as it determines to be reasonable and necessary to reflect the scope of their performance, contributions, responsibilities, experience, prior salary level, position and market conditions, including base salary amounts relative to similarly situated executive officers at peer group companies. On February 8, 2023, the Compensation Committee adjusted Messrs. Furlong’s and Macan’s base salaries to $448,200 and $409,400, respectively, effective January 1, 2023. Also on February 8, 2023, upon the recommendation of the Compensation Committee, the Board adjusted Mr. Sullivan’s base salary to $700,0000, effective January 1, 2023. The Compensation Committee evaluated all executive base salaries in consultation with Alpine.</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Annual Cash Bonuses</w:t>
      </w:r>
    </w:p>
    <w:p>
      <w:pPr>
        <w:spacing w:after="0" w:line="119" w:lineRule="exact"/>
        <w:rPr>
          <w:sz w:val="20"/>
          <w:szCs w:val="20"/>
          <w:color w:val="auto"/>
        </w:rPr>
      </w:pPr>
    </w:p>
    <w:p>
      <w:pPr>
        <w:ind w:left="300" w:right="319"/>
        <w:spacing w:after="0" w:line="269" w:lineRule="auto"/>
        <w:rPr>
          <w:sz w:val="20"/>
          <w:szCs w:val="20"/>
          <w:color w:val="auto"/>
        </w:rPr>
      </w:pPr>
      <w:r>
        <w:rPr>
          <w:rFonts w:ascii="Times New Roman" w:cs="Times New Roman" w:eastAsia="Times New Roman" w:hAnsi="Times New Roman"/>
          <w:sz w:val="17"/>
          <w:szCs w:val="17"/>
          <w:color w:val="auto"/>
        </w:rPr>
        <w:t>Each of Messrs. Sullivan, Furlong and Macan participated in our 2023 annual non-equity incentive plan, pursuant to which they were eligible to earn a cash incentive award based on corporate performance focused on revenue and earnings before interest and taxes (“EBIT”) objectives. The 2023 target annual cash incentive opportunity of Messrs. Sullivan, Furlong and Macan was 100%, 50% and 50% of annual base salary, respectively. In early 2024, the Compensation Committee evaluated the Company’s performance relative to these performance metrics. After considering the Company’s revenue and EBIT performance in the context of the market conditions that evolved throughout the year, the roll-out of the Better Me Guarantee Provider pilot program, the Company’s accomplishment in generating positive cash flow for the first time in the Company’s history during the fourth quarter of 2023, and with respect to Messrs. Furlong and Macan, their performance against their pre-established individual performance goals, the Compensation Committee determined to pay Messrs. Sullivan, Furlong and Macan cash incentive awards at 94%, 101% and 101%, respectively, of target. As the Compensation Committee exercised discretion in calculating the cash amounts paid to Messrs. Sullivan, Furlong and Macan with respect to the year ending December 31, 2023, those amounts are set forth in the column entitled “Bonus” in the Summary Compensation Table.</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Long-Term Incentive Compensation</w:t>
      </w:r>
    </w:p>
    <w:p>
      <w:pPr>
        <w:spacing w:after="0" w:line="119"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Pursuant to the terms and conditions of our equity incentive plans, we generally grant restricted stock unit awards to our employees, including our Named Executive Officers.</w:t>
      </w:r>
    </w:p>
    <w:p>
      <w:pPr>
        <w:spacing w:after="0" w:line="54" w:lineRule="exact"/>
        <w:rPr>
          <w:sz w:val="20"/>
          <w:szCs w:val="20"/>
          <w:color w:val="auto"/>
        </w:rPr>
      </w:pPr>
    </w:p>
    <w:p>
      <w:pPr>
        <w:ind w:left="300" w:right="779"/>
        <w:spacing w:after="0" w:line="261" w:lineRule="auto"/>
        <w:rPr>
          <w:sz w:val="20"/>
          <w:szCs w:val="20"/>
          <w:color w:val="auto"/>
        </w:rPr>
      </w:pPr>
      <w:r>
        <w:rPr>
          <w:rFonts w:ascii="Times New Roman" w:cs="Times New Roman" w:eastAsia="Times New Roman" w:hAnsi="Times New Roman"/>
          <w:sz w:val="18"/>
          <w:szCs w:val="18"/>
          <w:color w:val="auto"/>
        </w:rPr>
        <w:t>On February 8, 2023, Messrs. Sullivan, Furlong and Macan received restricted stock units representing 285,000, 100,000 and 90,000 shares, respectively. For a description of restricted stock unit awards that may be settled for shares of our common stock granted to our Named Executive Officers in 2023, please see the “Outstanding Equity Awards at Fiscal Year-End Table.”</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119"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We have entered into employment agreements or offer letters with Messrs. Sullivan, Furlong, and Macan. The key terms and conditions of these agreements are described below. For a discussion of the post-employment compensation arrangements with each of our Named Executive Officers, please see “Executive Officer Post-Employment Compensation Arrangements.”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Mr. Sullivan</w:t>
      </w:r>
    </w:p>
    <w:p>
      <w:pPr>
        <w:spacing w:after="0" w:line="11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We entered into an employment agreement with Mr. Sullivan dated July 14, 2020, pursuant to which we employed him as our President and Chief Executive Officer and he serves as a member of the Board. The agreement entitled Mr. Sullivan to a target annual cash bonus opportunity of at least 75% of his annual base salary, subject to annual review and adjustment by the Board upon recommendation from the Compensation Committee, with the actual amount of such annual bonus payable to be determined by the Board, based on the achievement of corporate performance objectives determined and agreed to by the Board. Effective November 2, 2023, we amended and restated the agreement to update Mr. Sullivan’s annual base salary, his target annual cash bonus opportunity (from 75% to 100% of his annual base salary), and his severance benefits (as described in greater detail in “Executive Officer Post-Employment Compensation Arrangements”). Mr. Sullivan’s 2023 annual base salary was $700,000. See “Executive Officer Post-Employment Compensation Arrangements” for more information regarding severance benefits.</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Messrs. Furlong and Macan</w:t>
      </w:r>
    </w:p>
    <w:p>
      <w:pPr>
        <w:spacing w:after="0" w:line="119"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We entered into employment offer letters with each of Messrs. Furlong and Macan. The employment of each is “at will” and each agreement endures until terminated by either party. See “Executive Officer Post-Employment Compensation Arrangements” for more information regarding severance benefits.</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Perquisites</w:t>
      </w:r>
    </w:p>
    <w:p>
      <w:pPr>
        <w:spacing w:after="0" w:line="119"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Mr. Furlong is entitled to commuting costs reimbursement, including reimbursement for weekly round-trip coach class airfare to corporate headquarters in Malvern, PA; reimbursement of certain related travel expenses; a housing allowance in Malvern of up to $2,000 per month; and a tax gross-up payment to offset any tax liability Mr. Furlong incurs as a result of any reimbursed relocation expenses. In 2023, our Named Executive Officers and their spouses attended our annual President’s Club trip, which is an all-expenses-paid trip that is offered as a reward to certain of our sales representatives and their spouses based on achievement of pre-defined goals.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121"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regarding the outstanding and unexercised stock options and restricted stock unit awards held by each of our Named Executive Officers as of December 31, 2023. The vesting schedule applicable to each outstanding equity award is described in the footnotes to the table below. For information regarding the vesting acceleration provisions applicable to the equity awards of our Named Executive Officers, see “Executive Officer Post-Employment Compensation Arrangements.”</w:t>
      </w:r>
    </w:p>
    <w:p>
      <w:pPr>
        <w:spacing w:after="0" w:line="13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80" w:type="dxa"/>
            <w:vAlign w:val="bottom"/>
            <w:gridSpan w:val="2"/>
            <w:vMerge w:val="continue"/>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40" w:type="dxa"/>
            <w:vAlign w:val="bottom"/>
            <w:gridSpan w:val="2"/>
            <w:vMerge w:val="continue"/>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0" w:type="dxa"/>
            <w:vAlign w:val="bottom"/>
          </w:tcPr>
          <w:p>
            <w:pPr>
              <w:spacing w:after="0"/>
              <w:rPr>
                <w:sz w:val="1"/>
                <w:szCs w:val="1"/>
                <w:color w:val="auto"/>
              </w:rPr>
            </w:pPr>
          </w:p>
        </w:tc>
      </w:tr>
      <w:tr>
        <w:trPr>
          <w:trHeight w:val="148"/>
        </w:trPr>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920" w:type="dxa"/>
            <w:vAlign w:val="bottom"/>
            <w:gridSpan w:val="2"/>
          </w:tcPr>
          <w:p>
            <w:pPr>
              <w:jc w:val="center"/>
              <w:ind w:left="36"/>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6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0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0" w:type="dxa"/>
            <w:vAlign w:val="bottom"/>
          </w:tcPr>
          <w:p>
            <w:pPr>
              <w:spacing w:after="0"/>
              <w:rPr>
                <w:sz w:val="1"/>
                <w:szCs w:val="1"/>
                <w:color w:val="auto"/>
              </w:rPr>
            </w:pPr>
          </w:p>
        </w:tc>
      </w:tr>
      <w:tr>
        <w:trPr>
          <w:trHeight w:val="148"/>
        </w:trPr>
        <w:tc>
          <w:tcPr>
            <w:tcW w:w="2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6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0" w:type="dxa"/>
            <w:vAlign w:val="bottom"/>
          </w:tcPr>
          <w:p>
            <w:pPr>
              <w:spacing w:after="0"/>
              <w:rPr>
                <w:sz w:val="1"/>
                <w:szCs w:val="1"/>
                <w:color w:val="auto"/>
              </w:rPr>
            </w:pPr>
          </w:p>
        </w:tc>
      </w:tr>
      <w:tr>
        <w:trPr>
          <w:trHeight w:val="190"/>
        </w:trPr>
        <w:tc>
          <w:tcPr>
            <w:tcW w:w="2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8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w:t>
            </w: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260" w:type="dxa"/>
            <w:vAlign w:val="bottom"/>
          </w:tcPr>
          <w:p>
            <w:pPr>
              <w:spacing w:after="0"/>
              <w:rPr>
                <w:sz w:val="16"/>
                <w:szCs w:val="16"/>
                <w:color w:val="auto"/>
              </w:rPr>
            </w:pPr>
          </w:p>
        </w:tc>
        <w:tc>
          <w:tcPr>
            <w:tcW w:w="760" w:type="dxa"/>
            <w:vAlign w:val="bottom"/>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rPr>
              <w:t>(h)</w:t>
            </w:r>
          </w:p>
        </w:tc>
        <w:tc>
          <w:tcPr>
            <w:tcW w:w="0" w:type="dxa"/>
            <w:vAlign w:val="bottom"/>
          </w:tcPr>
          <w:p>
            <w:pPr>
              <w:spacing w:after="0"/>
              <w:rPr>
                <w:sz w:val="1"/>
                <w:szCs w:val="1"/>
                <w:color w:val="auto"/>
              </w:rPr>
            </w:pPr>
          </w:p>
        </w:tc>
      </w:tr>
      <w:tr>
        <w:trPr>
          <w:trHeight w:val="50"/>
        </w:trPr>
        <w:tc>
          <w:tcPr>
            <w:tcW w:w="1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Sullivan</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07/14/20</w:t>
            </w:r>
          </w:p>
        </w:tc>
        <w:tc>
          <w:tcPr>
            <w:tcW w:w="9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754,166</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145,834</w:t>
            </w:r>
            <w:r>
              <w:rPr>
                <w:rFonts w:ascii="Times New Roman" w:cs="Times New Roman" w:eastAsia="Times New Roman" w:hAnsi="Times New Roman"/>
                <w:sz w:val="29"/>
                <w:szCs w:val="29"/>
                <w:color w:val="auto"/>
                <w:vertAlign w:val="superscript"/>
              </w:rPr>
              <w:t>(4)</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$ 1.98</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07/13/30</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375,000</w:t>
            </w:r>
            <w:r>
              <w:rPr>
                <w:rFonts w:ascii="Times New Roman" w:cs="Times New Roman" w:eastAsia="Times New Roman" w:hAnsi="Times New Roman"/>
                <w:sz w:val="29"/>
                <w:szCs w:val="29"/>
                <w:color w:val="auto"/>
                <w:w w:val="96"/>
                <w:vertAlign w:val="superscript"/>
              </w:rPr>
              <w:t>(3)</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$1,087,500</w:t>
            </w:r>
          </w:p>
        </w:tc>
        <w:tc>
          <w:tcPr>
            <w:tcW w:w="0" w:type="dxa"/>
            <w:vAlign w:val="bottom"/>
          </w:tcPr>
          <w:p>
            <w:pPr>
              <w:spacing w:after="0"/>
              <w:rPr>
                <w:sz w:val="1"/>
                <w:szCs w:val="1"/>
                <w:color w:val="auto"/>
              </w:rPr>
            </w:pPr>
          </w:p>
        </w:tc>
      </w:tr>
      <w:tr>
        <w:trPr>
          <w:trHeight w:val="364"/>
        </w:trPr>
        <w:tc>
          <w:tcPr>
            <w:tcW w:w="1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02/03/21</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100,000</w:t>
            </w:r>
            <w:r>
              <w:rPr>
                <w:rFonts w:ascii="Times New Roman" w:cs="Times New Roman" w:eastAsia="Times New Roman" w:hAnsi="Times New Roman"/>
                <w:sz w:val="29"/>
                <w:szCs w:val="29"/>
                <w:color w:val="auto"/>
                <w:w w:val="96"/>
                <w:vertAlign w:val="superscript"/>
              </w:rPr>
              <w:t>(4)</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290,000</w:t>
            </w:r>
          </w:p>
        </w:tc>
        <w:tc>
          <w:tcPr>
            <w:tcW w:w="0" w:type="dxa"/>
            <w:vAlign w:val="bottom"/>
          </w:tcPr>
          <w:p>
            <w:pPr>
              <w:spacing w:after="0"/>
              <w:rPr>
                <w:sz w:val="1"/>
                <w:szCs w:val="1"/>
                <w:color w:val="auto"/>
              </w:rPr>
            </w:pPr>
          </w:p>
        </w:tc>
      </w:tr>
      <w:tr>
        <w:trPr>
          <w:trHeight w:val="365"/>
        </w:trPr>
        <w:tc>
          <w:tcPr>
            <w:tcW w:w="1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02/09/22</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189,289</w:t>
            </w:r>
            <w:r>
              <w:rPr>
                <w:rFonts w:ascii="Times New Roman" w:cs="Times New Roman" w:eastAsia="Times New Roman" w:hAnsi="Times New Roman"/>
                <w:sz w:val="29"/>
                <w:szCs w:val="29"/>
                <w:color w:val="auto"/>
                <w:w w:val="96"/>
                <w:vertAlign w:val="superscript"/>
              </w:rPr>
              <w:t>(1)</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548,927</w:t>
            </w:r>
          </w:p>
        </w:tc>
        <w:tc>
          <w:tcPr>
            <w:tcW w:w="0" w:type="dxa"/>
            <w:vAlign w:val="bottom"/>
          </w:tcPr>
          <w:p>
            <w:pPr>
              <w:spacing w:after="0"/>
              <w:rPr>
                <w:sz w:val="1"/>
                <w:szCs w:val="1"/>
                <w:color w:val="auto"/>
              </w:rPr>
            </w:pPr>
          </w:p>
        </w:tc>
      </w:tr>
      <w:tr>
        <w:trPr>
          <w:trHeight w:val="364"/>
        </w:trPr>
        <w:tc>
          <w:tcPr>
            <w:tcW w:w="1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02/09/23</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285,000</w:t>
            </w:r>
            <w:r>
              <w:rPr>
                <w:rFonts w:ascii="Times New Roman" w:cs="Times New Roman" w:eastAsia="Times New Roman" w:hAnsi="Times New Roman"/>
                <w:sz w:val="29"/>
                <w:szCs w:val="29"/>
                <w:color w:val="auto"/>
                <w:w w:val="96"/>
                <w:vertAlign w:val="superscript"/>
              </w:rPr>
              <w:t>(1)</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826,500</w:t>
            </w: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Furlong</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07/22/19</w:t>
            </w:r>
          </w:p>
        </w:tc>
        <w:tc>
          <w:tcPr>
            <w:tcW w:w="9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117,845</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$11.48</w:t>
            </w: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07/21/29</w:t>
            </w: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8"/>
        </w:trPr>
        <w:tc>
          <w:tcPr>
            <w:tcW w:w="1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02/03/21</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46,728</w:t>
            </w:r>
            <w:r>
              <w:rPr>
                <w:rFonts w:ascii="Times New Roman" w:cs="Times New Roman" w:eastAsia="Times New Roman" w:hAnsi="Times New Roman"/>
                <w:sz w:val="29"/>
                <w:szCs w:val="29"/>
                <w:color w:val="auto"/>
                <w:vertAlign w:val="superscript"/>
              </w:rPr>
              <w:t>(5)</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135,511</w:t>
            </w:r>
          </w:p>
        </w:tc>
        <w:tc>
          <w:tcPr>
            <w:tcW w:w="0" w:type="dxa"/>
            <w:vAlign w:val="bottom"/>
          </w:tcPr>
          <w:p>
            <w:pPr>
              <w:spacing w:after="0"/>
              <w:rPr>
                <w:sz w:val="1"/>
                <w:szCs w:val="1"/>
                <w:color w:val="auto"/>
              </w:rPr>
            </w:pPr>
          </w:p>
        </w:tc>
      </w:tr>
      <w:tr>
        <w:trPr>
          <w:trHeight w:val="365"/>
        </w:trPr>
        <w:tc>
          <w:tcPr>
            <w:tcW w:w="1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10/04/21</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r>
              <w:rPr>
                <w:rFonts w:ascii="Times New Roman" w:cs="Times New Roman" w:eastAsia="Times New Roman" w:hAnsi="Times New Roman"/>
                <w:sz w:val="29"/>
                <w:szCs w:val="29"/>
                <w:color w:val="auto"/>
                <w:vertAlign w:val="superscript"/>
              </w:rPr>
              <w:t>(2)</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9,669</w:t>
            </w:r>
          </w:p>
        </w:tc>
        <w:tc>
          <w:tcPr>
            <w:tcW w:w="0" w:type="dxa"/>
            <w:vAlign w:val="bottom"/>
          </w:tcPr>
          <w:p>
            <w:pPr>
              <w:spacing w:after="0"/>
              <w:rPr>
                <w:sz w:val="1"/>
                <w:szCs w:val="1"/>
                <w:color w:val="auto"/>
              </w:rPr>
            </w:pPr>
          </w:p>
        </w:tc>
      </w:tr>
      <w:tr>
        <w:trPr>
          <w:trHeight w:val="364"/>
        </w:trPr>
        <w:tc>
          <w:tcPr>
            <w:tcW w:w="1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02/09/22</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117,778</w:t>
            </w:r>
            <w:r>
              <w:rPr>
                <w:rFonts w:ascii="Times New Roman" w:cs="Times New Roman" w:eastAsia="Times New Roman" w:hAnsi="Times New Roman"/>
                <w:sz w:val="29"/>
                <w:szCs w:val="29"/>
                <w:color w:val="auto"/>
                <w:w w:val="93"/>
                <w:vertAlign w:val="superscript"/>
              </w:rPr>
              <w:t>(1)</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341,556</w:t>
            </w:r>
          </w:p>
        </w:tc>
        <w:tc>
          <w:tcPr>
            <w:tcW w:w="0" w:type="dxa"/>
            <w:vAlign w:val="bottom"/>
          </w:tcPr>
          <w:p>
            <w:pPr>
              <w:spacing w:after="0"/>
              <w:rPr>
                <w:sz w:val="1"/>
                <w:szCs w:val="1"/>
                <w:color w:val="auto"/>
              </w:rPr>
            </w:pPr>
          </w:p>
        </w:tc>
      </w:tr>
      <w:tr>
        <w:trPr>
          <w:trHeight w:val="365"/>
        </w:trPr>
        <w:tc>
          <w:tcPr>
            <w:tcW w:w="1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02/08/23</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100,000</w:t>
            </w:r>
            <w:r>
              <w:rPr>
                <w:rFonts w:ascii="Times New Roman" w:cs="Times New Roman" w:eastAsia="Times New Roman" w:hAnsi="Times New Roman"/>
                <w:sz w:val="29"/>
                <w:szCs w:val="29"/>
                <w:color w:val="auto"/>
                <w:w w:val="96"/>
                <w:vertAlign w:val="superscript"/>
              </w:rPr>
              <w:t>(1)</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290,000</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4"/>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Mr. Macan</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02/03/21</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21,058</w:t>
            </w:r>
            <w:r>
              <w:rPr>
                <w:rFonts w:ascii="Times New Roman" w:cs="Times New Roman" w:eastAsia="Times New Roman" w:hAnsi="Times New Roman"/>
                <w:sz w:val="29"/>
                <w:szCs w:val="29"/>
                <w:color w:val="auto"/>
                <w:vertAlign w:val="superscript"/>
              </w:rPr>
              <w:t>(6)</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61,068</w:t>
            </w:r>
          </w:p>
        </w:tc>
        <w:tc>
          <w:tcPr>
            <w:tcW w:w="0" w:type="dxa"/>
            <w:vAlign w:val="bottom"/>
          </w:tcPr>
          <w:p>
            <w:pPr>
              <w:spacing w:after="0"/>
              <w:rPr>
                <w:sz w:val="1"/>
                <w:szCs w:val="1"/>
                <w:color w:val="auto"/>
              </w:rPr>
            </w:pPr>
          </w:p>
        </w:tc>
      </w:tr>
      <w:tr>
        <w:trPr>
          <w:trHeight w:val="365"/>
        </w:trPr>
        <w:tc>
          <w:tcPr>
            <w:tcW w:w="1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10/04/21</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9,669</w:t>
            </w:r>
          </w:p>
        </w:tc>
        <w:tc>
          <w:tcPr>
            <w:tcW w:w="0" w:type="dxa"/>
            <w:vAlign w:val="bottom"/>
          </w:tcPr>
          <w:p>
            <w:pPr>
              <w:spacing w:after="0"/>
              <w:rPr>
                <w:sz w:val="1"/>
                <w:szCs w:val="1"/>
                <w:color w:val="auto"/>
              </w:rPr>
            </w:pPr>
          </w:p>
        </w:tc>
      </w:tr>
      <w:tr>
        <w:trPr>
          <w:trHeight w:val="365"/>
        </w:trPr>
        <w:tc>
          <w:tcPr>
            <w:tcW w:w="1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02/09/22</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111,047</w:t>
            </w:r>
            <w:r>
              <w:rPr>
                <w:rFonts w:ascii="Times New Roman" w:cs="Times New Roman" w:eastAsia="Times New Roman" w:hAnsi="Times New Roman"/>
                <w:sz w:val="29"/>
                <w:szCs w:val="29"/>
                <w:color w:val="auto"/>
                <w:w w:val="93"/>
                <w:vertAlign w:val="superscript"/>
              </w:rPr>
              <w:t>(1)</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322,036</w:t>
            </w:r>
          </w:p>
        </w:tc>
        <w:tc>
          <w:tcPr>
            <w:tcW w:w="0" w:type="dxa"/>
            <w:vAlign w:val="bottom"/>
          </w:tcPr>
          <w:p>
            <w:pPr>
              <w:spacing w:after="0"/>
              <w:rPr>
                <w:sz w:val="1"/>
                <w:szCs w:val="1"/>
                <w:color w:val="auto"/>
              </w:rPr>
            </w:pPr>
          </w:p>
        </w:tc>
      </w:tr>
      <w:tr>
        <w:trPr>
          <w:trHeight w:val="364"/>
        </w:trPr>
        <w:tc>
          <w:tcPr>
            <w:tcW w:w="1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02/08/23</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-3188335</wp:posOffset>
            </wp:positionV>
            <wp:extent cx="1028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-3188335</wp:posOffset>
            </wp:positionV>
            <wp:extent cx="1028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-3188335</wp:posOffset>
            </wp:positionV>
            <wp:extent cx="1028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-3188335</wp:posOffset>
            </wp:positionV>
            <wp:extent cx="1028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-3188335</wp:posOffset>
            </wp:positionV>
            <wp:extent cx="1028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-3188335</wp:posOffset>
            </wp:positionV>
            <wp:extent cx="1028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-3188335</wp:posOffset>
            </wp:positionV>
            <wp:extent cx="1028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ind w:left="640" w:right="99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One-third or approximately thirty-three percent (33%) of the shares subject to the RSUs grant shall vest on the first, second, and third anniversary of the original grant date subject to Reporting Person continuing to provide service through each such date.</w:t>
      </w:r>
    </w:p>
    <w:p>
      <w:pPr>
        <w:ind w:left="640" w:right="359" w:hanging="348"/>
        <w:spacing w:after="0" w:line="229"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to purchase shares of our common stock vests as to 25% of the shares subject to the option on the first anniversary of Mr. Sullivan’s relevant vesting commencement date and the remaining shares vest as to 1/48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of such shares each month thereafter.</w:t>
      </w:r>
    </w:p>
    <w:p>
      <w:pPr>
        <w:spacing w:after="0" w:line="1" w:lineRule="exact"/>
        <w:rPr>
          <w:rFonts w:ascii="Times New Roman" w:cs="Times New Roman" w:eastAsia="Times New Roman" w:hAnsi="Times New Roman"/>
          <w:sz w:val="14"/>
          <w:szCs w:val="14"/>
          <w:color w:val="auto"/>
        </w:rPr>
      </w:pPr>
    </w:p>
    <w:p>
      <w:pPr>
        <w:ind w:left="640" w:right="559" w:hanging="348"/>
        <w:spacing w:after="0" w:line="227"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500,000 RSU grant that vests in four equal annual installments beginning on July 14, 2021, in each case subject to continuous service of the Reporting Person through such date and (ii) 500,000 performance restricted stock units (“PRSUs”) grant comprised of four equal tranches each of which vest in equal installments of 125,000 shares based on appreciation of the Company’s common stock price to $10, $15, $20 and $25 per share, respectively, measured using a trailing 30-day volume weighted average price (“VWAP”) of a share of the Company’s common stock. 250,000 shares vested during December 31, 2021 period as the $10 and $15 per share VWAP requirement was satisfied.</w:t>
      </w:r>
    </w:p>
    <w:p>
      <w:pPr>
        <w:spacing w:after="0" w:line="15" w:lineRule="exact"/>
        <w:rPr>
          <w:rFonts w:ascii="Times New Roman" w:cs="Times New Roman" w:eastAsia="Times New Roman" w:hAnsi="Times New Roman"/>
          <w:sz w:val="14"/>
          <w:szCs w:val="14"/>
          <w:color w:val="auto"/>
        </w:rPr>
      </w:pPr>
    </w:p>
    <w:p>
      <w:pPr>
        <w:ind w:left="640" w:right="759" w:hanging="348"/>
        <w:spacing w:after="0" w:line="24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100,000 PRSUs grant comprised of two equal tranches of which vest in equal installments of 50,000 shares based on appreciation of the Company’s common stock price to $30 and $35 per share, respectively, measured using a trailing 30-day volume weighted average price of a share of the Company’s common stock.</w:t>
      </w:r>
    </w:p>
    <w:p>
      <w:pPr>
        <w:spacing w:after="0" w:line="14" w:lineRule="exact"/>
        <w:rPr>
          <w:rFonts w:ascii="Times New Roman" w:cs="Times New Roman" w:eastAsia="Times New Roman" w:hAnsi="Times New Roman"/>
          <w:sz w:val="14"/>
          <w:szCs w:val="14"/>
          <w:color w:val="auto"/>
        </w:rPr>
      </w:pPr>
    </w:p>
    <w:p>
      <w:pPr>
        <w:ind w:left="640" w:right="699" w:hanging="348"/>
        <w:spacing w:after="0" w:line="236"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35,176 RSUs grant that vests in three equal annual installments beginning on February 3, 2022, in each case subject to continuous service of the Reporting Person through such date and (ii) 35,000 PRSUs grant that will vest based on appreciation of the Company’s common stock price to $25 per share, measured using a trailing 30-day volume weighted average price of a share of the Company’s common stock.</w:t>
      </w:r>
    </w:p>
    <w:p>
      <w:pPr>
        <w:spacing w:after="0" w:line="14" w:lineRule="exact"/>
        <w:rPr>
          <w:rFonts w:ascii="Times New Roman" w:cs="Times New Roman" w:eastAsia="Times New Roman" w:hAnsi="Times New Roman"/>
          <w:sz w:val="14"/>
          <w:szCs w:val="14"/>
          <w:color w:val="auto"/>
        </w:rPr>
      </w:pPr>
    </w:p>
    <w:p>
      <w:pPr>
        <w:ind w:left="640" w:right="699" w:hanging="348"/>
        <w:spacing w:after="0" w:line="236"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33,166 RSUs grant that vests in three equal annual installments beginning on February 3, 2022, in each case subject to continuous service of the Reporting Person through such date and (ii) 10,000 PRSUs grant that will vest based on appreciation of the Company’s common stock price to $25 per share, measured using a trailing 30-day volume weighted average price of a share of the Company’s common stock.</w:t>
      </w:r>
    </w:p>
    <w:p>
      <w:pPr>
        <w:spacing w:after="0" w:line="204" w:lineRule="exact"/>
        <w:rPr>
          <w:sz w:val="20"/>
          <w:szCs w:val="20"/>
          <w:color w:val="auto"/>
        </w:rPr>
      </w:pPr>
    </w:p>
    <w:p>
      <w:pPr>
        <w:ind w:left="300" w:right="3659"/>
        <w:spacing w:after="0" w:line="385" w:lineRule="auto"/>
        <w:rPr>
          <w:sz w:val="20"/>
          <w:szCs w:val="20"/>
          <w:color w:val="auto"/>
        </w:rPr>
      </w:pPr>
      <w:r>
        <w:rPr>
          <w:rFonts w:ascii="Times New Roman" w:cs="Times New Roman" w:eastAsia="Times New Roman" w:hAnsi="Times New Roman"/>
          <w:sz w:val="18"/>
          <w:szCs w:val="18"/>
          <w:b w:val="1"/>
          <w:bCs w:val="1"/>
          <w:color w:val="auto"/>
        </w:rPr>
        <w:t xml:space="preserve">Executive Officer Post-Employment Compensation Arrangements </w:t>
      </w:r>
      <w:r>
        <w:rPr>
          <w:rFonts w:ascii="Times New Roman" w:cs="Times New Roman" w:eastAsia="Times New Roman" w:hAnsi="Times New Roman"/>
          <w:sz w:val="18"/>
          <w:szCs w:val="18"/>
          <w:i w:val="1"/>
          <w:iCs w:val="1"/>
          <w:color w:val="auto"/>
        </w:rPr>
        <w:t>Mr. Sullivan</w:t>
      </w:r>
    </w:p>
    <w:p>
      <w:pPr>
        <w:spacing w:after="0" w:line="1" w:lineRule="exact"/>
        <w:rPr>
          <w:sz w:val="20"/>
          <w:szCs w:val="20"/>
          <w:color w:val="auto"/>
        </w:rPr>
      </w:pPr>
    </w:p>
    <w:p>
      <w:pPr>
        <w:ind w:left="300" w:right="599"/>
        <w:spacing w:after="0" w:line="281" w:lineRule="auto"/>
        <w:rPr>
          <w:sz w:val="20"/>
          <w:szCs w:val="20"/>
          <w:color w:val="auto"/>
        </w:rPr>
      </w:pPr>
      <w:r>
        <w:rPr>
          <w:rFonts w:ascii="Times New Roman" w:cs="Times New Roman" w:eastAsia="Times New Roman" w:hAnsi="Times New Roman"/>
          <w:sz w:val="17"/>
          <w:szCs w:val="17"/>
          <w:color w:val="auto"/>
        </w:rPr>
        <w:t>In July 2021, the Company entered into a restrictive covenant and severance agreement with Mr. Sullivan, which updated certain provisions in his employment agreement. Under the agreement, if the Company terminated Mr. Sullivan’s employment without cause or Mr. Sullivan terminated his employment for good reason, then Mr. Sullivan was entitled to receive 12 months of salary continuation, 12 months of benefits continuation and a</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prorated bonus for the year of termination, and if the termination of Mr. Sullivan’s employment was in connection with a change in control, then, in lieu of the benefits described above, Mr. Sullivan was entitled to receive 18 months of salary continuation, 18 months of benefits continuation, a bonus for the year of termination paid at 150% of target and accelerated vesting of his outstanding equity awards. Effective November 2, 2023, acting upon Alpine’s recommendation and approval from the Compensation Committee and the Board, we amended and restated the agreement such that, if the termination of Mr. Sullivan’s employment is in connection with a change in control, then Mr. Sullivan is entitled to receive 24 months of salary and benefits continuation (in lieu of 18 months as set forth prior to such amendment and restatement).</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Messrs. Furlong and Macan</w:t>
      </w:r>
    </w:p>
    <w:p>
      <w:pPr>
        <w:spacing w:after="0" w:line="119"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In July 2021, the Company entered into restrictive covenant and severance agreements with each of Messrs. Furlong and Macan, which updated certain provisions in their original severance agreements. Under the new agreement, if the Company terminates the executive’s employment without cause or the executive terminates his employment for good reason, the executive is entitled to receive 12 months of salary continuation and 12 months of benefits continuation. If the termination of the executive’s employment is in connection with a change in control, then, in addition to the severance benefits above, the executive is entitled to receive a bonus for the year of termination paid at 100% of target and accelerated vesting of his outstanding equity awards.</w:t>
      </w:r>
    </w:p>
    <w:p>
      <w:pPr>
        <w:spacing w:after="0" w:line="8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For purposes of these agreements, “cause” generally means the executive’s indictment, conviction or plea of guilty or no contest to a felony or to a misdemeanor involving moral turpitude or that causes material damage to our public image or reputation, or to our operations or financial performance; gross negligence or willful misconduct with respect to their duties and responsibilities to us; alcohol or illegal substance abuse in the event we have reasonable grounds for suspecting they are under the influence while at work and their ability to perform their duties and responsibilities has been impaired; their failure to timely execute a restrictive covenant agreement; willful refusal or failure to perform any specific material lawful direction from the Board not cured within 30 days after delivery of written notice; willful and material breach of any written agreement with or duty owed to us; or if we determine that they have intentionally omitted any requested information or falsified any disclosed information either in their resume or during the interview process with us.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Messrs. Sullivan, Furlong, and Macan</w:t>
      </w:r>
    </w:p>
    <w:p>
      <w:pPr>
        <w:spacing w:after="0" w:line="119"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For purposes of these agreements, “good reason” generally means a material adverse change in the executive’s position with us that reduces their title, level of authority, duties or responsibilities; a reduction in their base salary or target bonus; our failure to provide that they are eligible to participate in benefit plans on a basis at least as favorable as that of our other similarly situated senior corporate officers; or relocation of their principal worksite by more than 35 miles, unless it reduces their commute.</w:t>
      </w:r>
    </w:p>
    <w:p>
      <w:pPr>
        <w:spacing w:after="0" w:line="75"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For purposes of these agreements, “change in control” generally means the occurrence of, in one transaction or a series of related transactions, any person becoming a beneficial owner, directly or indirectly, of our securities representing more than 50% of the voting power of our then-outstanding securities; a consolidation, share exchange, reorganization or merger in which our equity holders immediately prior to such event own less than 50% of the voting power of the resulting entity’s securities outstanding immediately following such event; or the sale or other disposition of all or substantially all of our assets; or any similar event deemed by the Board to constitute a “change in control.”</w:t>
      </w:r>
    </w:p>
    <w:p>
      <w:pPr>
        <w:spacing w:after="0" w:line="81" w:lineRule="exact"/>
        <w:rPr>
          <w:sz w:val="20"/>
          <w:szCs w:val="20"/>
          <w:color w:val="auto"/>
        </w:rPr>
      </w:pPr>
    </w:p>
    <w:p>
      <w:pPr>
        <w:ind w:left="300" w:right="599"/>
        <w:spacing w:after="0" w:line="266" w:lineRule="auto"/>
        <w:rPr>
          <w:sz w:val="20"/>
          <w:szCs w:val="20"/>
          <w:color w:val="auto"/>
        </w:rPr>
      </w:pPr>
      <w:r>
        <w:rPr>
          <w:rFonts w:ascii="Times New Roman" w:cs="Times New Roman" w:eastAsia="Times New Roman" w:hAnsi="Times New Roman"/>
          <w:sz w:val="18"/>
          <w:szCs w:val="18"/>
          <w:color w:val="auto"/>
        </w:rPr>
        <w:t>In consideration for the benefits extended under the severance agreements, Messrs. Sullivan, Furlong and Macan entered into restrictive covenant and invention assignment agreements with us, which agreements contain non-compete, non-solicitation and intellectual property protections in our favor.</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Equity Award Acceleration</w:t>
      </w:r>
    </w:p>
    <w:p>
      <w:pPr>
        <w:spacing w:after="0" w:line="119"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Under the terms of the Company’s 2018 Equity Incentive Plan (the “2018 Plan”), in connection with a change in control or similar corporate transaction, the Compensation Committee may choose, but is not required, to accelerate the vesting and exercisability of awards granted under the 2018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As required by the pay versus performance rules adopted by the SEC pursuant to the Dodd-Frank Wall Street Reform and Consumer Protection Act of 2010, as amended (the “Dodd-Frank Act”), we are providing the following information regarding the relationship between executive compensation and our financial performance for each of the last two completed fiscal years. In determining the compensation actually paid (“CAP”) to our Named Executive Officers, we are required to make various adjustments to amounts that are reported in the Summary Compensation Table, as the SEC’s valuation methods for this section differ from those required in the Summary Compensation Table.</w:t>
      </w:r>
    </w:p>
    <w:p>
      <w:pPr>
        <w:spacing w:after="0" w:line="8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We do not utilize net income (loss) or total stockholder return (“TSR”) in our executive compensation program. However, we do utilize several other performance measures to align executive compensation with our performance. As described in more detail in the section entitled “Narrative Disclosure to 2023 Summary Compensation Table,” part of the compensation that our Named Executive Officers are eligible to receive consists of annual performance-based cash bonuses, which are designed to provide appropriate incentives to our executives to achieve defined annual corporate goals and to reward our executives for individual achievement towards these goals. Additionally, we view restricted stock, which is an integral part of our executive compensation program, as related to the Company’s performance although not directly tied to net income (loss) or TSR, because they provide incremental value only if the market price of our common stock increases, and if the executive officer continues in our employment over the vesting period. We believe that stock restricted stock grants provide a meaningful incentive for our executives to remain in our employment and enhance stockholder value over time.</w:t>
      </w:r>
    </w:p>
    <w:p>
      <w:pPr>
        <w:spacing w:after="0" w:line="84" w:lineRule="exact"/>
        <w:rPr>
          <w:sz w:val="20"/>
          <w:szCs w:val="20"/>
          <w:color w:val="auto"/>
        </w:rPr>
      </w:pPr>
    </w:p>
    <w:p>
      <w:pPr>
        <w:ind w:left="300" w:right="339"/>
        <w:spacing w:after="0" w:line="281" w:lineRule="auto"/>
        <w:rPr>
          <w:sz w:val="20"/>
          <w:szCs w:val="20"/>
          <w:color w:val="auto"/>
        </w:rPr>
      </w:pPr>
      <w:r>
        <w:rPr>
          <w:rFonts w:ascii="Times New Roman" w:cs="Times New Roman" w:eastAsia="Times New Roman" w:hAnsi="Times New Roman"/>
          <w:sz w:val="17"/>
          <w:szCs w:val="17"/>
          <w:color w:val="auto"/>
        </w:rPr>
        <w:t>Stockholders should refer to the philosophy, policies and practices in this proxy statement for a complete description of how executive compensation relates to the Company’s performance measures and how the Compensation Committee makes it decisions related thereto. The Compensation Committee did not consider this SEC-required pay versus performance analysis and disclosure below in making its pay decisions for any of the years shown.</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Pay Versus Performance Table</w:t>
      </w:r>
    </w:p>
    <w:p>
      <w:pPr>
        <w:spacing w:after="0" w:line="119" w:lineRule="exact"/>
        <w:rPr>
          <w:sz w:val="20"/>
          <w:szCs w:val="20"/>
          <w:color w:val="auto"/>
        </w:rPr>
      </w:pPr>
    </w:p>
    <w:p>
      <w:pPr>
        <w:ind w:left="300" w:right="399"/>
        <w:spacing w:after="0" w:line="257" w:lineRule="auto"/>
        <w:rPr>
          <w:sz w:val="20"/>
          <w:szCs w:val="20"/>
          <w:color w:val="auto"/>
        </w:rPr>
      </w:pPr>
      <w:r>
        <w:rPr>
          <w:rFonts w:ascii="Times New Roman" w:cs="Times New Roman" w:eastAsia="Times New Roman" w:hAnsi="Times New Roman"/>
          <w:sz w:val="18"/>
          <w:szCs w:val="18"/>
          <w:color w:val="auto"/>
        </w:rPr>
        <w:t>The following table provides the information required to be disclosed for our Named Executive Officers for each of the fiscal years ended December 31, 2023, December 31, 2022, and December 31, 2021 along with the financial information required to be disclosed for each fiscal year. We are a smaller reporting company, as defined in</w:t>
      </w:r>
    </w:p>
    <w:p>
      <w:pPr>
        <w:spacing w:after="0" w:line="1" w:lineRule="exact"/>
        <w:rPr>
          <w:sz w:val="20"/>
          <w:szCs w:val="20"/>
          <w:color w:val="auto"/>
        </w:rPr>
      </w:pPr>
    </w:p>
    <w:p>
      <w:pPr>
        <w:ind w:left="300" w:right="519"/>
        <w:spacing w:after="0" w:line="260" w:lineRule="auto"/>
        <w:rPr>
          <w:sz w:val="20"/>
          <w:szCs w:val="20"/>
          <w:color w:val="auto"/>
        </w:rPr>
      </w:pPr>
      <w:r>
        <w:rPr>
          <w:rFonts w:ascii="Times New Roman" w:cs="Times New Roman" w:eastAsia="Times New Roman" w:hAnsi="Times New Roman"/>
          <w:sz w:val="18"/>
          <w:szCs w:val="18"/>
          <w:color w:val="auto"/>
        </w:rPr>
        <w:t>Rule 12b-2 under the Exchange Act, and have elected to provide in this proxy statement certain scaled disclosures permitted under the Exchange Act for smaller reporting companies.</w:t>
      </w: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180" w:type="dxa"/>
            <w:vAlign w:val="bottom"/>
            <w:gridSpan w:val="2"/>
            <w:vMerge w:val="continue"/>
          </w:tcPr>
          <w:p>
            <w:pPr>
              <w:spacing w:after="0"/>
              <w:rPr>
                <w:sz w:val="12"/>
                <w:szCs w:val="12"/>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the Principal</w:t>
            </w: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8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1300" w:type="dxa"/>
            <w:vAlign w:val="bottom"/>
            <w:gridSpan w:val="2"/>
            <w:vMerge w:val="continue"/>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88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0" w:type="dxa"/>
            <w:vAlign w:val="bottom"/>
          </w:tcPr>
          <w:p>
            <w:pPr>
              <w:spacing w:after="0"/>
              <w:rPr>
                <w:sz w:val="1"/>
                <w:szCs w:val="1"/>
                <w:color w:val="auto"/>
              </w:rPr>
            </w:pPr>
          </w:p>
        </w:tc>
      </w:tr>
      <w:tr>
        <w:trPr>
          <w:trHeight w:val="158"/>
        </w:trPr>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4"/>
                <w:szCs w:val="14"/>
                <w:b w:val="1"/>
                <w:bCs w:val="1"/>
                <w:color w:val="auto"/>
                <w:w w:val="98"/>
              </w:rPr>
              <w:t>Officer</w:t>
            </w:r>
          </w:p>
        </w:tc>
        <w:tc>
          <w:tcPr>
            <w:tcW w:w="130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16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18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138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Investment Based</w:t>
            </w: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(“PEO”)</w:t>
            </w:r>
            <w:r>
              <w:rPr>
                <w:rFonts w:ascii="Times New Roman" w:cs="Times New Roman" w:eastAsia="Times New Roman" w:hAnsi="Times New Roman"/>
                <w:sz w:val="23"/>
                <w:szCs w:val="23"/>
                <w:b w:val="1"/>
                <w:bCs w:val="1"/>
                <w:color w:val="auto"/>
                <w:w w:val="94"/>
                <w:vertAlign w:val="superscript"/>
              </w:rPr>
              <w:t>(1)</w:t>
            </w:r>
          </w:p>
        </w:tc>
        <w:tc>
          <w:tcPr>
            <w:tcW w:w="1300" w:type="dxa"/>
            <w:vAlign w:val="bottom"/>
            <w:gridSpan w:val="2"/>
          </w:tcPr>
          <w:p>
            <w:pPr>
              <w:jc w:val="center"/>
              <w:ind w:right="280"/>
              <w:spacing w:after="0" w:line="271" w:lineRule="exact"/>
              <w:rPr>
                <w:sz w:val="20"/>
                <w:szCs w:val="20"/>
                <w:color w:val="auto"/>
              </w:rPr>
            </w:pPr>
            <w:r>
              <w:rPr>
                <w:rFonts w:ascii="Times New Roman" w:cs="Times New Roman" w:eastAsia="Times New Roman" w:hAnsi="Times New Roman"/>
                <w:sz w:val="28"/>
                <w:szCs w:val="28"/>
                <w:b w:val="1"/>
                <w:bCs w:val="1"/>
                <w:color w:val="auto"/>
                <w:w w:val="87"/>
                <w:vertAlign w:val="subscript"/>
              </w:rPr>
              <w:t>PEO</w:t>
            </w:r>
            <w:r>
              <w:rPr>
                <w:rFonts w:ascii="Times New Roman" w:cs="Times New Roman" w:eastAsia="Times New Roman" w:hAnsi="Times New Roman"/>
                <w:sz w:val="12"/>
                <w:szCs w:val="12"/>
                <w:b w:val="1"/>
                <w:bCs w:val="1"/>
                <w:color w:val="auto"/>
                <w:w w:val="87"/>
              </w:rPr>
              <w:t>(2)(3)</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NEOs</w:t>
            </w:r>
            <w:r>
              <w:rPr>
                <w:rFonts w:ascii="Times New Roman" w:cs="Times New Roman" w:eastAsia="Times New Roman" w:hAnsi="Times New Roman"/>
                <w:sz w:val="23"/>
                <w:szCs w:val="23"/>
                <w:b w:val="1"/>
                <w:bCs w:val="1"/>
                <w:color w:val="auto"/>
                <w:w w:val="93"/>
                <w:vertAlign w:val="superscript"/>
              </w:rPr>
              <w:t>(4)</w:t>
            </w:r>
          </w:p>
        </w:tc>
        <w:tc>
          <w:tcPr>
            <w:tcW w:w="1180" w:type="dxa"/>
            <w:vAlign w:val="bottom"/>
            <w:gridSpan w:val="2"/>
          </w:tcPr>
          <w:p>
            <w:pPr>
              <w:jc w:val="center"/>
              <w:ind w:right="260"/>
              <w:spacing w:after="0" w:line="271" w:lineRule="exact"/>
              <w:rPr>
                <w:sz w:val="20"/>
                <w:szCs w:val="20"/>
                <w:color w:val="auto"/>
              </w:rPr>
            </w:pPr>
            <w:r>
              <w:rPr>
                <w:rFonts w:ascii="Times New Roman" w:cs="Times New Roman" w:eastAsia="Times New Roman" w:hAnsi="Times New Roman"/>
                <w:sz w:val="28"/>
                <w:szCs w:val="28"/>
                <w:b w:val="1"/>
                <w:bCs w:val="1"/>
                <w:color w:val="auto"/>
                <w:w w:val="84"/>
                <w:vertAlign w:val="subscript"/>
              </w:rPr>
              <w:t>NEOs</w:t>
            </w:r>
            <w:r>
              <w:rPr>
                <w:rFonts w:ascii="Times New Roman" w:cs="Times New Roman" w:eastAsia="Times New Roman" w:hAnsi="Times New Roman"/>
                <w:sz w:val="12"/>
                <w:szCs w:val="12"/>
                <w:b w:val="1"/>
                <w:bCs w:val="1"/>
                <w:color w:val="auto"/>
                <w:w w:val="84"/>
              </w:rPr>
              <w:t>(3)(4)</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on TSR</w:t>
            </w:r>
            <w:r>
              <w:rPr>
                <w:rFonts w:ascii="Times New Roman" w:cs="Times New Roman" w:eastAsia="Times New Roman" w:hAnsi="Times New Roman"/>
                <w:sz w:val="23"/>
                <w:szCs w:val="23"/>
                <w:b w:val="1"/>
                <w:bCs w:val="1"/>
                <w:color w:val="auto"/>
                <w:w w:val="94"/>
                <w:vertAlign w:val="superscript"/>
              </w:rPr>
              <w:t>(5)</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(in $ '000s)</w:t>
            </w:r>
            <w:r>
              <w:rPr>
                <w:rFonts w:ascii="Times New Roman" w:cs="Times New Roman" w:eastAsia="Times New Roman" w:hAnsi="Times New Roman"/>
                <w:sz w:val="23"/>
                <w:szCs w:val="23"/>
                <w:b w:val="1"/>
                <w:bCs w:val="1"/>
                <w:color w:val="auto"/>
                <w:w w:val="98"/>
                <w:vertAlign w:val="superscript"/>
              </w:rPr>
              <w:t>(6)</w:t>
            </w:r>
          </w:p>
        </w:tc>
        <w:tc>
          <w:tcPr>
            <w:tcW w:w="0" w:type="dxa"/>
            <w:vAlign w:val="bottom"/>
          </w:tcPr>
          <w:p>
            <w:pPr>
              <w:spacing w:after="0"/>
              <w:rPr>
                <w:sz w:val="1"/>
                <w:szCs w:val="1"/>
                <w:color w:val="auto"/>
              </w:rPr>
            </w:pPr>
          </w:p>
        </w:tc>
      </w:tr>
      <w:tr>
        <w:trPr>
          <w:trHeight w:val="311"/>
        </w:trPr>
        <w:tc>
          <w:tcPr>
            <w:tcW w:w="10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9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$2,990,985</w:t>
            </w:r>
          </w:p>
        </w:tc>
        <w:tc>
          <w:tcPr>
            <w:tcW w:w="280" w:type="dxa"/>
            <w:vAlign w:val="bottom"/>
            <w:tcBorders>
              <w:top w:val="single" w:sz="8" w:color="CCEEFF"/>
              <w:bottom w:val="single" w:sz="8" w:color="CCEEFF"/>
            </w:tcBorders>
            <w:shd w:val="clear" w:color="auto" w:fill="CCEEFF"/>
          </w:tcPr>
          <w:p>
            <w:pPr>
              <w:spacing w:after="0"/>
              <w:rPr>
                <w:sz w:val="24"/>
                <w:szCs w:val="24"/>
                <w:color w:val="auto"/>
              </w:rPr>
            </w:pPr>
          </w:p>
        </w:tc>
        <w:tc>
          <w:tcPr>
            <w:tcW w:w="1020" w:type="dxa"/>
            <w:vAlign w:val="bottom"/>
            <w:tcBorders>
              <w:top w:val="single" w:sz="8" w:color="auto"/>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8"/>
              </w:rPr>
              <w:t>($1,941,901)</w:t>
            </w:r>
          </w:p>
        </w:tc>
        <w:tc>
          <w:tcPr>
            <w:tcW w:w="280" w:type="dxa"/>
            <w:vAlign w:val="bottom"/>
            <w:tcBorders>
              <w:top w:val="single" w:sz="8" w:color="CCEEFF"/>
              <w:bottom w:val="single" w:sz="8" w:color="CCEEFF"/>
            </w:tcBorders>
            <w:shd w:val="clear" w:color="auto" w:fill="CCEEFF"/>
          </w:tcPr>
          <w:p>
            <w:pPr>
              <w:spacing w:after="0"/>
              <w:rPr>
                <w:sz w:val="24"/>
                <w:szCs w:val="24"/>
                <w:color w:val="auto"/>
              </w:rPr>
            </w:pPr>
          </w:p>
        </w:tc>
        <w:tc>
          <w:tcPr>
            <w:tcW w:w="9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$1,261,044</w:t>
            </w:r>
          </w:p>
        </w:tc>
        <w:tc>
          <w:tcPr>
            <w:tcW w:w="260" w:type="dxa"/>
            <w:vAlign w:val="bottom"/>
            <w:tcBorders>
              <w:top w:val="single" w:sz="8" w:color="CCEEFF"/>
              <w:bottom w:val="single" w:sz="8" w:color="CCEEFF"/>
            </w:tcBorders>
            <w:shd w:val="clear" w:color="auto" w:fill="CCEEFF"/>
          </w:tcPr>
          <w:p>
            <w:pPr>
              <w:spacing w:after="0"/>
              <w:rPr>
                <w:sz w:val="24"/>
                <w:szCs w:val="24"/>
                <w:color w:val="auto"/>
              </w:rPr>
            </w:pPr>
          </w:p>
        </w:tc>
        <w:tc>
          <w:tcPr>
            <w:tcW w:w="9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199,563</w:t>
            </w:r>
          </w:p>
        </w:tc>
        <w:tc>
          <w:tcPr>
            <w:tcW w:w="260" w:type="dxa"/>
            <w:vAlign w:val="bottom"/>
            <w:tcBorders>
              <w:top w:val="single" w:sz="8" w:color="CCEEFF"/>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$26</w:t>
            </w:r>
          </w:p>
        </w:tc>
        <w:tc>
          <w:tcPr>
            <w:tcW w:w="280" w:type="dxa"/>
            <w:vAlign w:val="bottom"/>
            <w:tcBorders>
              <w:top w:val="single" w:sz="8" w:color="CCEEFF"/>
              <w:bottom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($29,784)</w:t>
            </w: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$2,452,214</w:t>
            </w:r>
          </w:p>
        </w:tc>
        <w:tc>
          <w:tcPr>
            <w:tcW w:w="280" w:type="dxa"/>
            <w:vAlign w:val="bottom"/>
          </w:tcPr>
          <w:p>
            <w:pPr>
              <w:spacing w:after="0"/>
              <w:rPr>
                <w:sz w:val="23"/>
                <w:szCs w:val="23"/>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$4,129,522</w:t>
            </w:r>
          </w:p>
        </w:tc>
        <w:tc>
          <w:tcPr>
            <w:tcW w:w="2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$1,272,343</w:t>
            </w:r>
          </w:p>
        </w:tc>
        <w:tc>
          <w:tcPr>
            <w:tcW w:w="26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$1,986,312</w:t>
            </w:r>
          </w:p>
        </w:tc>
        <w:tc>
          <w:tcPr>
            <w:tcW w:w="26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$62</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($37,159)</w:t>
            </w:r>
          </w:p>
        </w:tc>
        <w:tc>
          <w:tcPr>
            <w:tcW w:w="0" w:type="dxa"/>
            <w:vAlign w:val="bottom"/>
          </w:tcPr>
          <w:p>
            <w:pPr>
              <w:spacing w:after="0"/>
              <w:rPr>
                <w:sz w:val="1"/>
                <w:szCs w:val="1"/>
                <w:color w:val="auto"/>
              </w:rPr>
            </w:pPr>
          </w:p>
        </w:tc>
      </w:tr>
      <w:tr>
        <w:trPr>
          <w:trHeight w:val="54"/>
        </w:trPr>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$2,838,730</w:t>
            </w:r>
          </w:p>
        </w:tc>
        <w:tc>
          <w:tcPr>
            <w:tcW w:w="2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8"/>
              </w:rPr>
              <w:t>($3,227,270)</w:t>
            </w: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$1,579,725</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210,913</w:t>
            </w:r>
          </w:p>
        </w:tc>
        <w:tc>
          <w:tcPr>
            <w:tcW w:w="2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2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($31,193)</w:t>
            </w:r>
          </w:p>
        </w:tc>
        <w:tc>
          <w:tcPr>
            <w:tcW w:w="0" w:type="dxa"/>
            <w:vAlign w:val="bottom"/>
          </w:tcPr>
          <w:p>
            <w:pPr>
              <w:spacing w:after="0"/>
              <w:rPr>
                <w:sz w:val="1"/>
                <w:szCs w:val="1"/>
                <w:color w:val="auto"/>
              </w:rPr>
            </w:pPr>
          </w:p>
        </w:tc>
      </w:tr>
      <w:tr>
        <w:trPr>
          <w:trHeight w:val="149"/>
        </w:trPr>
        <w:tc>
          <w:tcPr>
            <w:tcW w:w="10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-736600</wp:posOffset>
            </wp:positionV>
            <wp:extent cx="1714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-736600</wp:posOffset>
            </wp:positionV>
            <wp:extent cx="1714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-736600</wp:posOffset>
            </wp:positionV>
            <wp:extent cx="1714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-736600</wp:posOffset>
            </wp:positionV>
            <wp:extent cx="1714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-736600</wp:posOffset>
            </wp:positionV>
            <wp:extent cx="1714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-736600</wp:posOffset>
            </wp:positionV>
            <wp:extent cx="1714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1" w:lineRule="exact"/>
        <w:rPr>
          <w:sz w:val="20"/>
          <w:szCs w:val="20"/>
          <w:color w:val="auto"/>
        </w:rPr>
      </w:pPr>
    </w:p>
    <w:p>
      <w:pPr>
        <w:jc w:val="both"/>
        <w:ind w:left="640" w:right="899" w:hanging="348"/>
        <w:spacing w:after="0" w:line="24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this column are the amounts of total compensation reported in the “Total” column of the Summary Compensation Table for the 2021, 2022 and 2023 fiscal years for Mr. Sullivan who served as our PEO for the applicable year. For additional information, see “Executive Compensation-Summary Compensation Table.”</w:t>
      </w:r>
    </w:p>
    <w:p>
      <w:pPr>
        <w:spacing w:after="0" w:line="14" w:lineRule="exact"/>
        <w:rPr>
          <w:rFonts w:ascii="Times New Roman" w:cs="Times New Roman" w:eastAsia="Times New Roman" w:hAnsi="Times New Roman"/>
          <w:sz w:val="14"/>
          <w:szCs w:val="14"/>
          <w:color w:val="auto"/>
        </w:rPr>
      </w:pPr>
    </w:p>
    <w:p>
      <w:pPr>
        <w:ind w:left="640" w:right="699" w:hanging="348"/>
        <w:spacing w:after="0" w:line="26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amounted reported in this column represent the amount of CAP to our PEO, Mr. Sullivan, as computed in accordance with Item 402(v) of Regulation S-K.</w:t>
      </w:r>
    </w:p>
    <w:p>
      <w:pPr>
        <w:ind w:left="640" w:hanging="348"/>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reflects the adjustments made to compute CAP for each applicable year.</w:t>
      </w:r>
    </w:p>
    <w:p>
      <w:pPr>
        <w:spacing w:after="0" w:line="41" w:lineRule="exact"/>
        <w:rPr>
          <w:rFonts w:ascii="Times New Roman" w:cs="Times New Roman" w:eastAsia="Times New Roman" w:hAnsi="Times New Roman"/>
          <w:sz w:val="14"/>
          <w:szCs w:val="14"/>
          <w:color w:val="auto"/>
        </w:rPr>
      </w:pPr>
    </w:p>
    <w:p>
      <w:pPr>
        <w:ind w:left="640" w:right="519" w:hanging="348"/>
        <w:spacing w:after="0" w:line="24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this column represents the average of the amounts reported for our Non-PEO NEOs as a group in the “Total” column of the Summary Compensation Table in each applicable year. The Non-PEO NEOs in each applicable year were Messrs. Furlong, and Macan.</w:t>
      </w:r>
    </w:p>
    <w:p>
      <w:pPr>
        <w:spacing w:after="0" w:line="14" w:lineRule="exact"/>
        <w:rPr>
          <w:rFonts w:ascii="Times New Roman" w:cs="Times New Roman" w:eastAsia="Times New Roman" w:hAnsi="Times New Roman"/>
          <w:sz w:val="14"/>
          <w:szCs w:val="14"/>
          <w:color w:val="auto"/>
        </w:rPr>
      </w:pPr>
    </w:p>
    <w:p>
      <w:pPr>
        <w:ind w:left="640" w:right="359" w:hanging="348"/>
        <w:spacing w:after="0" w:line="233"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reflect our cumulative TSR, assuming an initial fixed $100 investment in the Company for the period starting December 31, 2021 through the end of each listed fiscal year. Cumulative TSR is calculated by dividing the sum of the cumulative amount of dividends for the measured period, assuming dividend reinvestment, and the difference between the Company’ share price at the end and the beginning of the measured period by the Company’s share price at the beginning of the measured period. No dividends were paid on stock or option awards in 2021, 2022 and 2023.</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339" w:hanging="348"/>
        <w:spacing w:after="0" w:line="261"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represents the amount of net loss attributed to the Company’s stockholders as reflected in our audited financial statements of each applicable year.</w:t>
      </w:r>
    </w:p>
    <w:p>
      <w:pPr>
        <w:sectPr>
          <w:pgSz w:w="11900" w:h="16838" w:orient="portrait"/>
          <w:cols w:equalWidth="0" w:num="1">
            <w:col w:w="9019"/>
          </w:cols>
          <w:pgMar w:left="1440" w:top="263" w:right="1440" w:bottom="1440" w:gutter="0" w:footer="0" w:header="0"/>
        </w:sectPr>
      </w:pPr>
    </w:p>
    <w:p>
      <w:pPr>
        <w:spacing w:after="0" w:line="244" w:lineRule="exact"/>
        <w:rPr>
          <w:sz w:val="20"/>
          <w:szCs w:val="20"/>
          <w:color w:val="auto"/>
        </w:rPr>
      </w:pPr>
    </w:p>
    <w:p>
      <w:pPr>
        <w:ind w:left="3140"/>
        <w:spacing w:after="0"/>
        <w:tabs>
          <w:tab w:leader="none" w:pos="32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373" w:lineRule="exact"/>
        <w:rPr>
          <w:sz w:val="20"/>
          <w:szCs w:val="20"/>
          <w:color w:val="auto"/>
        </w:rPr>
      </w:pPr>
    </w:p>
    <w:p>
      <w:pPr>
        <w:ind w:left="3140"/>
        <w:spacing w:after="0"/>
        <w:tabs>
          <w:tab w:leader="none" w:pos="32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165100</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46355</wp:posOffset>
            </wp:positionV>
            <wp:extent cx="10801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PEO</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left="21"/>
              <w:spacing w:after="0"/>
              <w:rPr>
                <w:sz w:val="20"/>
                <w:szCs w:val="20"/>
                <w:color w:val="auto"/>
              </w:rPr>
            </w:pPr>
            <w:r>
              <w:rPr>
                <w:rFonts w:ascii="Times New Roman" w:cs="Times New Roman" w:eastAsia="Times New Roman" w:hAnsi="Times New Roman"/>
                <w:sz w:val="13"/>
                <w:szCs w:val="13"/>
                <w:b w:val="1"/>
                <w:bCs w:val="1"/>
                <w:color w:val="auto"/>
                <w:w w:val="95"/>
              </w:rPr>
              <w:t>Non-PEO</w:t>
            </w:r>
          </w:p>
        </w:tc>
        <w:tc>
          <w:tcPr>
            <w:tcW w:w="0" w:type="dxa"/>
            <w:vAlign w:val="bottom"/>
          </w:tcPr>
          <w:p>
            <w:pPr>
              <w:spacing w:after="0"/>
              <w:rPr>
                <w:sz w:val="1"/>
                <w:szCs w:val="1"/>
                <w:color w:val="auto"/>
              </w:rPr>
            </w:pPr>
          </w:p>
        </w:tc>
      </w:tr>
      <w:tr>
        <w:trPr>
          <w:trHeight w:val="98"/>
        </w:trPr>
        <w:tc>
          <w:tcPr>
            <w:tcW w:w="380" w:type="dxa"/>
            <w:vAlign w:val="bottom"/>
            <w:vMerge w:val="continue"/>
          </w:tcPr>
          <w:p>
            <w:pPr>
              <w:spacing w:after="0"/>
              <w:rPr>
                <w:sz w:val="8"/>
                <w:szCs w:val="8"/>
                <w:color w:val="auto"/>
              </w:rPr>
            </w:pPr>
          </w:p>
        </w:tc>
        <w:tc>
          <w:tcPr>
            <w:tcW w:w="1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tcPr>
          <w:p>
            <w:pPr>
              <w:jc w:val="center"/>
              <w:ind w:left="21"/>
              <w:spacing w:after="0" w:line="88" w:lineRule="exact"/>
              <w:rPr>
                <w:sz w:val="20"/>
                <w:szCs w:val="20"/>
                <w:color w:val="auto"/>
              </w:rPr>
            </w:pPr>
            <w:r>
              <w:rPr>
                <w:rFonts w:ascii="Times New Roman" w:cs="Times New Roman" w:eastAsia="Times New Roman" w:hAnsi="Times New Roman"/>
                <w:sz w:val="10"/>
                <w:szCs w:val="10"/>
                <w:b w:val="1"/>
                <w:bCs w:val="1"/>
                <w:color w:val="auto"/>
              </w:rPr>
              <w:t>NEOs</w:t>
            </w:r>
          </w:p>
        </w:tc>
        <w:tc>
          <w:tcPr>
            <w:tcW w:w="0" w:type="dxa"/>
            <w:vAlign w:val="bottom"/>
          </w:tcPr>
          <w:p>
            <w:pPr>
              <w:spacing w:after="0"/>
              <w:rPr>
                <w:sz w:val="1"/>
                <w:szCs w:val="1"/>
                <w:color w:val="auto"/>
              </w:rPr>
            </w:pPr>
          </w:p>
        </w:tc>
      </w:tr>
      <w:tr>
        <w:trPr>
          <w:trHeight w:val="203"/>
        </w:trPr>
        <w:tc>
          <w:tcPr>
            <w:tcW w:w="3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center"/>
              <w:ind w:left="81"/>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36195</wp:posOffset>
            </wp:positionV>
            <wp:extent cx="1200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96" w:lineRule="exact"/>
        <w:rPr>
          <w:sz w:val="20"/>
          <w:szCs w:val="20"/>
          <w:color w:val="auto"/>
        </w:rPr>
      </w:pPr>
    </w:p>
    <w:p>
      <w:pPr>
        <w:spacing w:after="0"/>
        <w:tabs>
          <w:tab w:leader="none" w:pos="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179705</wp:posOffset>
            </wp:positionV>
            <wp:extent cx="120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5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Pr>
          <w:p>
            <w:pPr>
              <w:spacing w:after="0"/>
              <w:rPr>
                <w:sz w:val="13"/>
                <w:szCs w:val="13"/>
                <w:color w:val="auto"/>
              </w:rPr>
            </w:pP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25"/>
        </w:trPr>
        <w:tc>
          <w:tcPr>
            <w:tcW w:w="5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560" w:type="dxa"/>
            <w:vAlign w:val="bottom"/>
            <w:vMerge w:val="restart"/>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7"/>
              </w:rPr>
              <w:t>PEO</w:t>
            </w:r>
          </w:p>
        </w:tc>
        <w:tc>
          <w:tcPr>
            <w:tcW w:w="3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Non-PEO</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560" w:type="dxa"/>
            <w:vAlign w:val="bottom"/>
            <w:vMerge w:val="continue"/>
          </w:tcPr>
          <w:p>
            <w:pPr>
              <w:spacing w:after="0"/>
              <w:rPr>
                <w:sz w:val="8"/>
                <w:szCs w:val="8"/>
                <w:color w:val="auto"/>
              </w:rPr>
            </w:pPr>
          </w:p>
        </w:tc>
        <w:tc>
          <w:tcPr>
            <w:tcW w:w="380" w:type="dxa"/>
            <w:vAlign w:val="bottom"/>
          </w:tcPr>
          <w:p>
            <w:pPr>
              <w:jc w:val="right"/>
              <w:ind w:right="115"/>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NEOs</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03"/>
        </w:trPr>
        <w:tc>
          <w:tcPr>
            <w:tcW w:w="5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36195</wp:posOffset>
            </wp:positionV>
            <wp:extent cx="120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441325</wp:posOffset>
            </wp:positionH>
            <wp:positionV relativeFrom="paragraph">
              <wp:posOffset>36195</wp:posOffset>
            </wp:positionV>
            <wp:extent cx="120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46355</wp:posOffset>
            </wp:positionV>
            <wp:extent cx="10801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 w:type="dxa"/>
            <w:vAlign w:val="bottom"/>
            <w:vMerge w:val="restart"/>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PEO</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ind w:left="41"/>
              <w:spacing w:after="0"/>
              <w:rPr>
                <w:sz w:val="20"/>
                <w:szCs w:val="20"/>
                <w:color w:val="auto"/>
              </w:rPr>
            </w:pPr>
            <w:r>
              <w:rPr>
                <w:rFonts w:ascii="Times New Roman" w:cs="Times New Roman" w:eastAsia="Times New Roman" w:hAnsi="Times New Roman"/>
                <w:sz w:val="13"/>
                <w:szCs w:val="13"/>
                <w:b w:val="1"/>
                <w:bCs w:val="1"/>
                <w:color w:val="auto"/>
                <w:w w:val="95"/>
              </w:rPr>
              <w:t>Non-PEO</w:t>
            </w:r>
          </w:p>
        </w:tc>
        <w:tc>
          <w:tcPr>
            <w:tcW w:w="0" w:type="dxa"/>
            <w:vAlign w:val="bottom"/>
          </w:tcPr>
          <w:p>
            <w:pPr>
              <w:spacing w:after="0"/>
              <w:rPr>
                <w:sz w:val="1"/>
                <w:szCs w:val="1"/>
                <w:color w:val="auto"/>
              </w:rPr>
            </w:pPr>
          </w:p>
        </w:tc>
      </w:tr>
      <w:tr>
        <w:trPr>
          <w:trHeight w:val="98"/>
        </w:trPr>
        <w:tc>
          <w:tcPr>
            <w:tcW w:w="400" w:type="dxa"/>
            <w:vAlign w:val="bottom"/>
            <w:vMerge w:val="continue"/>
          </w:tcPr>
          <w:p>
            <w:pPr>
              <w:spacing w:after="0"/>
              <w:rPr>
                <w:sz w:val="8"/>
                <w:szCs w:val="8"/>
                <w:color w:val="auto"/>
              </w:rPr>
            </w:pP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jc w:val="center"/>
              <w:ind w:left="41"/>
              <w:spacing w:after="0" w:line="88" w:lineRule="exact"/>
              <w:rPr>
                <w:sz w:val="20"/>
                <w:szCs w:val="20"/>
                <w:color w:val="auto"/>
              </w:rPr>
            </w:pPr>
            <w:r>
              <w:rPr>
                <w:rFonts w:ascii="Times New Roman" w:cs="Times New Roman" w:eastAsia="Times New Roman" w:hAnsi="Times New Roman"/>
                <w:sz w:val="10"/>
                <w:szCs w:val="10"/>
                <w:b w:val="1"/>
                <w:bCs w:val="1"/>
                <w:color w:val="auto"/>
              </w:rPr>
              <w:t>NEOs</w:t>
            </w:r>
          </w:p>
        </w:tc>
        <w:tc>
          <w:tcPr>
            <w:tcW w:w="0" w:type="dxa"/>
            <w:vAlign w:val="bottom"/>
          </w:tcPr>
          <w:p>
            <w:pPr>
              <w:spacing w:after="0"/>
              <w:rPr>
                <w:sz w:val="1"/>
                <w:szCs w:val="1"/>
                <w:color w:val="auto"/>
              </w:rPr>
            </w:pPr>
          </w:p>
        </w:tc>
      </w:tr>
      <w:tr>
        <w:trPr>
          <w:trHeight w:val="203"/>
        </w:trPr>
        <w:tc>
          <w:tcPr>
            <w:tcW w:w="40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center"/>
              <w:ind w:left="61"/>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36195</wp:posOffset>
            </wp:positionV>
            <wp:extent cx="120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5">
            <w:col w:w="3260" w:space="320"/>
            <w:col w:w="1320" w:space="140"/>
            <w:col w:w="100" w:space="100"/>
            <w:col w:w="1680" w:space="320"/>
            <w:col w:w="1779"/>
          </w:cols>
          <w:pgMar w:left="1440" w:top="263" w:right="1440" w:bottom="1440" w:gutter="0" w:footer="0" w:header="0"/>
          <w:type w:val="continuous"/>
        </w:sectPr>
      </w:pPr>
    </w:p>
    <w:tbl>
      <w:tblPr>
        <w:tblLayout w:type="fixed"/>
        <w:tblInd w:w="660" w:type="dxa"/>
        <w:tblCellMar>
          <w:top w:w="0" w:type="dxa"/>
          <w:left w:w="0" w:type="dxa"/>
          <w:bottom w:w="0" w:type="dxa"/>
          <w:right w:w="0" w:type="dxa"/>
        </w:tblCellMar>
      </w:tblPr>
      <w:tr>
        <w:trPr>
          <w:trHeight w:val="20"/>
        </w:trPr>
        <w:tc>
          <w:tcPr>
            <w:tcW w:w="2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Summary Compensation Table total</w:t>
            </w:r>
          </w:p>
        </w:tc>
        <w:tc>
          <w:tcPr>
            <w:tcW w:w="2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280" w:type="dxa"/>
            <w:vAlign w:val="bottom"/>
            <w:tcBorders>
              <w:bottom w:val="single" w:sz="8" w:color="CCEEFF"/>
            </w:tcBorders>
            <w:vMerge w:val="continue"/>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$ 2,990,985  </w:t>
            </w:r>
            <w:r>
              <w:rPr>
                <w:rFonts w:ascii="Times New Roman" w:cs="Times New Roman" w:eastAsia="Times New Roman" w:hAnsi="Times New Roman"/>
                <w:sz w:val="3"/>
                <w:szCs w:val="3"/>
                <w:color w:val="auto"/>
              </w:rPr>
              <w:t>​</w:t>
            </w:r>
          </w:p>
        </w:tc>
        <w:tc>
          <w:tcPr>
            <w:tcW w:w="14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Borders>
              <w:bottom w:val="single" w:sz="8" w:color="CCEEFF"/>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 xml:space="preserve">$ 2,522,088  </w:t>
            </w:r>
            <w:r>
              <w:rPr>
                <w:rFonts w:ascii="Times New Roman" w:cs="Times New Roman" w:eastAsia="Times New Roman" w:hAnsi="Times New Roman"/>
                <w:sz w:val="3"/>
                <w:szCs w:val="3"/>
                <w:color w:val="auto"/>
              </w:rPr>
              <w:t>​</w:t>
            </w:r>
          </w:p>
        </w:tc>
        <w:tc>
          <w:tcPr>
            <w:tcW w:w="14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$2,452,214  </w:t>
            </w:r>
            <w:r>
              <w:rPr>
                <w:rFonts w:ascii="Times New Roman" w:cs="Times New Roman" w:eastAsia="Times New Roman" w:hAnsi="Times New Roman"/>
                <w:sz w:val="3"/>
                <w:szCs w:val="3"/>
                <w:color w:val="auto"/>
              </w:rPr>
              <w:t>​</w:t>
            </w:r>
          </w:p>
        </w:tc>
        <w:tc>
          <w:tcPr>
            <w:tcW w:w="14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$2,544,686  </w:t>
            </w:r>
            <w:r>
              <w:rPr>
                <w:rFonts w:ascii="Times New Roman" w:cs="Times New Roman" w:eastAsia="Times New Roman" w:hAnsi="Times New Roman"/>
                <w:sz w:val="3"/>
                <w:szCs w:val="3"/>
                <w:color w:val="auto"/>
              </w:rPr>
              <w:t>​</w:t>
            </w:r>
          </w:p>
        </w:tc>
        <w:tc>
          <w:tcPr>
            <w:tcW w:w="14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$ 2,838,730  </w:t>
            </w:r>
            <w:r>
              <w:rPr>
                <w:rFonts w:ascii="Times New Roman" w:cs="Times New Roman" w:eastAsia="Times New Roman" w:hAnsi="Times New Roman"/>
                <w:sz w:val="3"/>
                <w:szCs w:val="3"/>
                <w:color w:val="auto"/>
              </w:rPr>
              <w:t>​</w:t>
            </w:r>
          </w:p>
        </w:tc>
        <w:tc>
          <w:tcPr>
            <w:tcW w:w="14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$ 3,159,451</w:t>
            </w:r>
          </w:p>
        </w:tc>
        <w:tc>
          <w:tcPr>
            <w:tcW w:w="0" w:type="dxa"/>
            <w:vAlign w:val="bottom"/>
          </w:tcPr>
          <w:p>
            <w:pPr>
              <w:spacing w:after="0"/>
              <w:rPr>
                <w:sz w:val="1"/>
                <w:szCs w:val="1"/>
                <w:color w:val="auto"/>
              </w:rPr>
            </w:pPr>
          </w:p>
        </w:tc>
      </w:tr>
      <w:tr>
        <w:trPr>
          <w:trHeight w:val="145"/>
        </w:trPr>
        <w:tc>
          <w:tcPr>
            <w:tcW w:w="22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i w:val="1"/>
                <w:iCs w:val="1"/>
                <w:color w:val="auto"/>
              </w:rPr>
              <w:t>Adjustments</w:t>
            </w:r>
          </w:p>
        </w:tc>
        <w:tc>
          <w:tcPr>
            <w:tcW w:w="26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(Subtraction): Stock Awards</w:t>
            </w:r>
          </w:p>
        </w:tc>
        <w:tc>
          <w:tcPr>
            <w:tcW w:w="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($ 1,601,700) </w:t>
            </w:r>
            <w:r>
              <w:rPr>
                <w:rFonts w:ascii="Times New Roman" w:cs="Times New Roman" w:eastAsia="Times New Roman" w:hAnsi="Times New Roman"/>
                <w:sz w:val="3"/>
                <w:szCs w:val="3"/>
                <w:color w:val="auto"/>
              </w:rPr>
              <w:t>​</w:t>
            </w:r>
          </w:p>
        </w:tc>
        <w:tc>
          <w:tcPr>
            <w:tcW w:w="14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Borders>
              <w:bottom w:val="single" w:sz="8" w:color="CCEEFF"/>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 xml:space="preserve">($ 1,121,000) </w:t>
            </w:r>
            <w:r>
              <w:rPr>
                <w:rFonts w:ascii="Times New Roman" w:cs="Times New Roman" w:eastAsia="Times New Roman" w:hAnsi="Times New Roman"/>
                <w:sz w:val="3"/>
                <w:szCs w:val="3"/>
                <w:color w:val="auto"/>
              </w:rPr>
              <w:t>​</w:t>
            </w:r>
          </w:p>
        </w:tc>
        <w:tc>
          <w:tcPr>
            <w:tcW w:w="14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900,001)</w:t>
            </w:r>
            <w:r>
              <w:rPr>
                <w:rFonts w:ascii="Times New Roman" w:cs="Times New Roman" w:eastAsia="Times New Roman" w:hAnsi="Times New Roman"/>
                <w:sz w:val="3"/>
                <w:szCs w:val="3"/>
                <w:color w:val="auto"/>
              </w:rPr>
              <w:t>​</w:t>
            </w:r>
          </w:p>
        </w:tc>
        <w:tc>
          <w:tcPr>
            <w:tcW w:w="14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($1,088,005)</w:t>
            </w:r>
            <w:r>
              <w:rPr>
                <w:rFonts w:ascii="Times New Roman" w:cs="Times New Roman" w:eastAsia="Times New Roman" w:hAnsi="Times New Roman"/>
                <w:sz w:val="3"/>
                <w:szCs w:val="3"/>
                <w:color w:val="auto"/>
              </w:rPr>
              <w:t>​</w:t>
            </w:r>
          </w:p>
        </w:tc>
        <w:tc>
          <w:tcPr>
            <w:tcW w:w="14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($ 1,592,000) </w:t>
            </w:r>
            <w:r>
              <w:rPr>
                <w:rFonts w:ascii="Times New Roman" w:cs="Times New Roman" w:eastAsia="Times New Roman" w:hAnsi="Times New Roman"/>
                <w:sz w:val="3"/>
                <w:szCs w:val="3"/>
                <w:color w:val="auto"/>
              </w:rPr>
              <w:t>​</w:t>
            </w:r>
          </w:p>
        </w:tc>
        <w:tc>
          <w:tcPr>
            <w:tcW w:w="14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($ 1,930,605)</w:t>
            </w:r>
          </w:p>
        </w:tc>
        <w:tc>
          <w:tcPr>
            <w:tcW w:w="0" w:type="dxa"/>
            <w:vAlign w:val="bottom"/>
          </w:tcPr>
          <w:p>
            <w:pPr>
              <w:spacing w:after="0"/>
              <w:rPr>
                <w:sz w:val="1"/>
                <w:szCs w:val="1"/>
                <w:color w:val="auto"/>
              </w:rPr>
            </w:pPr>
          </w:p>
        </w:tc>
      </w:tr>
      <w:tr>
        <w:trPr>
          <w:trHeight w:val="145"/>
        </w:trPr>
        <w:tc>
          <w:tcPr>
            <w:tcW w:w="228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Fair Value of Equity Awards</w:t>
            </w:r>
          </w:p>
        </w:tc>
        <w:tc>
          <w:tcPr>
            <w:tcW w:w="26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71120</wp:posOffset>
            </wp:positionV>
            <wp:extent cx="5117465" cy="3511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17465" cy="3511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p>
      <w:pPr>
        <w:spacing w:after="0" w:line="15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3"/>
          <w:szCs w:val="13"/>
          <w:color w:val="auto"/>
        </w:rPr>
        <w:t>Addition: Year-End Fair Value of</w:t>
      </w:r>
    </w:p>
    <w:p>
      <w:pPr>
        <w:spacing w:after="0" w:line="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Outstanding and Unvested Equity</w:t>
      </w:r>
    </w:p>
    <w:p>
      <w:pPr>
        <w:ind w:left="1020"/>
        <w:spacing w:after="0"/>
        <w:rPr>
          <w:sz w:val="20"/>
          <w:szCs w:val="20"/>
          <w:color w:val="auto"/>
        </w:rPr>
      </w:pPr>
      <w:r>
        <w:rPr>
          <w:rFonts w:ascii="Times New Roman" w:cs="Times New Roman" w:eastAsia="Times New Roman" w:hAnsi="Times New Roman"/>
          <w:sz w:val="13"/>
          <w:szCs w:val="13"/>
          <w:color w:val="auto"/>
        </w:rPr>
        <w:t>Awards Granted in the Covered Year</w:t>
      </w:r>
    </w:p>
    <w:p>
      <w:pPr>
        <w:spacing w:after="0" w:line="93" w:lineRule="exact"/>
        <w:rPr>
          <w:sz w:val="20"/>
          <w:szCs w:val="20"/>
          <w:color w:val="auto"/>
        </w:rPr>
      </w:pPr>
    </w:p>
    <w:p>
      <w:pPr>
        <w:ind w:left="1020" w:right="160" w:hanging="179"/>
        <w:spacing w:after="0" w:line="258" w:lineRule="auto"/>
        <w:rPr>
          <w:sz w:val="20"/>
          <w:szCs w:val="20"/>
          <w:color w:val="auto"/>
        </w:rPr>
      </w:pPr>
      <w:r>
        <w:rPr>
          <w:rFonts w:ascii="Times New Roman" w:cs="Times New Roman" w:eastAsia="Times New Roman" w:hAnsi="Times New Roman"/>
          <w:sz w:val="13"/>
          <w:szCs w:val="13"/>
          <w:color w:val="auto"/>
        </w:rPr>
        <w:t>Addition: Change in Fair Value of Outstanding and Unvested Equity Awards Granted in the Prior Year</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tabs>
          <w:tab w:leader="none" w:pos="80" w:val="left"/>
          <w:tab w:leader="none" w:pos="940" w:val="left"/>
          <w:tab w:leader="none" w:pos="1020" w:val="left"/>
          <w:tab w:leader="none" w:pos="1880" w:val="left"/>
          <w:tab w:leader="none" w:pos="1980" w:val="left"/>
          <w:tab w:leader="none" w:pos="2780" w:val="left"/>
          <w:tab w:leader="none" w:pos="2860" w:val="left"/>
          <w:tab w:leader="none" w:pos="3660" w:val="left"/>
          <w:tab w:leader="none" w:pos="3760" w:val="left"/>
          <w:tab w:leader="none" w:pos="4600" w:val="left"/>
          <w:tab w:leader="none" w:pos="470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45" w:lineRule="exact"/>
        <w:rPr>
          <w:sz w:val="20"/>
          <w:szCs w:val="20"/>
          <w:color w:val="auto"/>
        </w:rPr>
      </w:pPr>
    </w:p>
    <w:p>
      <w:pPr>
        <w:ind w:left="200"/>
        <w:spacing w:after="0"/>
        <w:tabs>
          <w:tab w:leader="none" w:pos="380" w:val="left"/>
          <w:tab w:leader="none" w:pos="1120" w:val="left"/>
          <w:tab w:leader="none" w:pos="1320" w:val="left"/>
          <w:tab w:leader="none" w:pos="2060" w:val="left"/>
          <w:tab w:leader="none" w:pos="2960" w:val="left"/>
          <w:tab w:leader="none" w:pos="3860" w:val="left"/>
          <w:tab w:leader="none" w:pos="4060" w:val="left"/>
          <w:tab w:leader="none" w:pos="4800" w:val="left"/>
          <w:tab w:leader="none" w:pos="5000" w:val="left"/>
        </w:tabs>
        <w:rPr>
          <w:sz w:val="20"/>
          <w:szCs w:val="20"/>
          <w:color w:val="auto"/>
        </w:rPr>
      </w:pPr>
      <w:r>
        <w:rPr>
          <w:rFonts w:ascii="Times New Roman" w:cs="Times New Roman" w:eastAsia="Times New Roman" w:hAnsi="Times New Roman"/>
          <w:sz w:val="13"/>
          <w:szCs w:val="13"/>
          <w:color w:val="auto"/>
        </w:rPr>
        <w:t>$</w:t>
        <w:tab/>
        <w:t>826,500</w:t>
      </w:r>
      <w:r>
        <w:rPr>
          <w:sz w:val="20"/>
          <w:szCs w:val="20"/>
          <w:color w:val="auto"/>
        </w:rPr>
        <w:tab/>
      </w:r>
      <w:r>
        <w:rPr>
          <w:rFonts w:ascii="Times New Roman" w:cs="Times New Roman" w:eastAsia="Times New Roman" w:hAnsi="Times New Roman"/>
          <w:sz w:val="13"/>
          <w:szCs w:val="13"/>
          <w:color w:val="auto"/>
        </w:rPr>
        <w:t>$</w:t>
        <w:tab/>
        <w:t>551,000</w:t>
      </w:r>
      <w:r>
        <w:rPr>
          <w:sz w:val="20"/>
          <w:szCs w:val="20"/>
          <w:color w:val="auto"/>
        </w:rPr>
        <w:tab/>
      </w:r>
      <w:r>
        <w:rPr>
          <w:rFonts w:ascii="Times New Roman" w:cs="Times New Roman" w:eastAsia="Times New Roman" w:hAnsi="Times New Roman"/>
          <w:sz w:val="13"/>
          <w:szCs w:val="13"/>
          <w:color w:val="auto"/>
        </w:rPr>
        <w:t>$1,950,475</w:t>
      </w:r>
      <w:r>
        <w:rPr>
          <w:sz w:val="20"/>
          <w:szCs w:val="20"/>
          <w:color w:val="auto"/>
        </w:rPr>
        <w:tab/>
      </w:r>
      <w:r>
        <w:rPr>
          <w:rFonts w:ascii="Times New Roman" w:cs="Times New Roman" w:eastAsia="Times New Roman" w:hAnsi="Times New Roman"/>
          <w:sz w:val="13"/>
          <w:szCs w:val="13"/>
          <w:color w:val="auto"/>
        </w:rPr>
        <w:t>$2,357,915</w:t>
      </w:r>
      <w:r>
        <w:rPr>
          <w:sz w:val="20"/>
          <w:szCs w:val="20"/>
          <w:color w:val="auto"/>
        </w:rPr>
        <w:tab/>
      </w:r>
      <w:r>
        <w:rPr>
          <w:rFonts w:ascii="Times New Roman" w:cs="Times New Roman" w:eastAsia="Times New Roman" w:hAnsi="Times New Roman"/>
          <w:sz w:val="13"/>
          <w:szCs w:val="13"/>
          <w:color w:val="auto"/>
        </w:rPr>
        <w:t>$</w:t>
        <w:tab/>
        <w:t>446,000</w:t>
      </w:r>
      <w:r>
        <w:rPr>
          <w:sz w:val="20"/>
          <w:szCs w:val="20"/>
          <w:color w:val="auto"/>
        </w:rPr>
        <w:tab/>
      </w:r>
      <w:r>
        <w:rPr>
          <w:rFonts w:ascii="Times New Roman" w:cs="Times New Roman" w:eastAsia="Times New Roman" w:hAnsi="Times New Roman"/>
          <w:sz w:val="13"/>
          <w:szCs w:val="13"/>
          <w:color w:val="auto"/>
        </w:rPr>
        <w:t>$</w:t>
        <w:tab/>
        <w:t>594,705</w:t>
      </w:r>
    </w:p>
    <w:p>
      <w:pPr>
        <w:spacing w:after="0" w:line="313" w:lineRule="exact"/>
        <w:rPr>
          <w:sz w:val="20"/>
          <w:szCs w:val="20"/>
          <w:color w:val="auto"/>
        </w:rPr>
      </w:pPr>
    </w:p>
    <w:p>
      <w:pPr>
        <w:spacing w:after="0"/>
        <w:tabs>
          <w:tab w:leader="none" w:pos="80" w:val="left"/>
          <w:tab w:leader="none" w:pos="940" w:val="left"/>
          <w:tab w:leader="none" w:pos="1020" w:val="left"/>
          <w:tab w:leader="none" w:pos="1880" w:val="left"/>
          <w:tab w:leader="none" w:pos="1980" w:val="left"/>
          <w:tab w:leader="none" w:pos="2780" w:val="left"/>
          <w:tab w:leader="none" w:pos="2860" w:val="left"/>
          <w:tab w:leader="none" w:pos="3660" w:val="left"/>
          <w:tab w:leader="none" w:pos="3760" w:val="left"/>
          <w:tab w:leader="none" w:pos="4600" w:val="left"/>
          <w:tab w:leader="none" w:pos="470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45" w:lineRule="exact"/>
        <w:rPr>
          <w:sz w:val="20"/>
          <w:szCs w:val="20"/>
          <w:color w:val="auto"/>
        </w:rPr>
      </w:pPr>
    </w:p>
    <w:p>
      <w:pPr>
        <w:ind w:left="200"/>
        <w:spacing w:after="0"/>
        <w:tabs>
          <w:tab w:leader="none" w:pos="1120" w:val="left"/>
          <w:tab w:leader="none" w:pos="2060" w:val="left"/>
          <w:tab w:leader="none" w:pos="2960" w:val="left"/>
          <w:tab w:leader="none" w:pos="3860" w:val="left"/>
          <w:tab w:leader="none" w:pos="4800" w:val="left"/>
        </w:tabs>
        <w:rPr>
          <w:sz w:val="20"/>
          <w:szCs w:val="20"/>
          <w:color w:val="auto"/>
        </w:rPr>
      </w:pPr>
      <w:r>
        <w:rPr>
          <w:rFonts w:ascii="Times New Roman" w:cs="Times New Roman" w:eastAsia="Times New Roman" w:hAnsi="Times New Roman"/>
          <w:sz w:val="13"/>
          <w:szCs w:val="13"/>
          <w:color w:val="auto"/>
        </w:rPr>
        <w:t>($ 3,184,086)</w:t>
        <w:tab/>
        <w:t>($ 1,204,018)</w:t>
        <w:tab/>
        <w:t>$2,388,083</w:t>
      </w:r>
      <w:r>
        <w:rPr>
          <w:sz w:val="20"/>
          <w:szCs w:val="20"/>
          <w:color w:val="auto"/>
        </w:rPr>
        <w:tab/>
      </w:r>
      <w:r>
        <w:rPr>
          <w:rFonts w:ascii="Times New Roman" w:cs="Times New Roman" w:eastAsia="Times New Roman" w:hAnsi="Times New Roman"/>
          <w:sz w:val="13"/>
          <w:szCs w:val="13"/>
          <w:color w:val="auto"/>
        </w:rPr>
        <w:t>$  536,152</w:t>
      </w:r>
      <w:r>
        <w:rPr>
          <w:sz w:val="20"/>
          <w:szCs w:val="20"/>
          <w:color w:val="auto"/>
        </w:rPr>
        <w:tab/>
      </w:r>
      <w:r>
        <w:rPr>
          <w:rFonts w:ascii="Times New Roman" w:cs="Times New Roman" w:eastAsia="Times New Roman" w:hAnsi="Times New Roman"/>
          <w:sz w:val="13"/>
          <w:szCs w:val="13"/>
          <w:color w:val="auto"/>
        </w:rPr>
        <w:t>($ 8,276,667)</w:t>
      </w:r>
      <w:r>
        <w:rPr>
          <w:sz w:val="20"/>
          <w:szCs w:val="20"/>
          <w:color w:val="auto"/>
        </w:rPr>
        <w:tab/>
      </w:r>
      <w:r>
        <w:rPr>
          <w:rFonts w:ascii="Times New Roman" w:cs="Times New Roman" w:eastAsia="Times New Roman" w:hAnsi="Times New Roman"/>
          <w:sz w:val="13"/>
          <w:szCs w:val="13"/>
          <w:color w:val="auto"/>
        </w:rPr>
        <w:t>($ 2,105,984)</w:t>
      </w:r>
    </w:p>
    <w:p>
      <w:pPr>
        <w:spacing w:after="0" w:line="65" w:lineRule="exact"/>
        <w:rPr>
          <w:sz w:val="20"/>
          <w:szCs w:val="20"/>
          <w:color w:val="auto"/>
        </w:rPr>
      </w:pPr>
    </w:p>
    <w:p>
      <w:pPr>
        <w:sectPr>
          <w:pgSz w:w="11900" w:h="16838" w:orient="portrait"/>
          <w:cols w:equalWidth="0" w:num="2">
            <w:col w:w="3000" w:space="140"/>
            <w:col w:w="5879"/>
          </w:cols>
          <w:pgMar w:left="1440" w:top="263" w:right="1440" w:bottom="1440" w:gutter="0" w:footer="0" w:header="0"/>
          <w:type w:val="continuous"/>
        </w:sectPr>
      </w:pPr>
    </w:p>
    <w:tbl>
      <w:tblPr>
        <w:tblLayout w:type="fixed"/>
        <w:tblInd w:w="660" w:type="dxa"/>
        <w:tblCellMar>
          <w:top w:w="0" w:type="dxa"/>
          <w:left w:w="0" w:type="dxa"/>
          <w:bottom w:w="0" w:type="dxa"/>
          <w:right w:w="0" w:type="dxa"/>
        </w:tblCellMar>
      </w:tblPr>
      <w:tr>
        <w:trPr>
          <w:trHeight w:val="190"/>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Addition: Change in Fair Value or Prior</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xml:space="preserve">Year Equity Awards Vested in Covered </w:t>
            </w:r>
            <w:r>
              <w:rPr>
                <w:rFonts w:ascii="Times New Roman" w:cs="Times New Roman" w:eastAsia="Times New Roman" w:hAnsi="Times New Roman"/>
                <w:sz w:val="3"/>
                <w:szCs w:val="3"/>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Year</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973,599)</w:t>
            </w: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348,944)</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($1,761,250)</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378,124)</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3"/>
                <w:szCs w:val="13"/>
                <w:color w:val="auto"/>
              </w:rPr>
              <w:t>$ 3,356,667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704,259</w:t>
            </w:r>
          </w:p>
        </w:tc>
        <w:tc>
          <w:tcPr>
            <w:tcW w:w="0" w:type="dxa"/>
            <w:vAlign w:val="bottom"/>
          </w:tcPr>
          <w:p>
            <w:pPr>
              <w:spacing w:after="0"/>
              <w:rPr>
                <w:sz w:val="1"/>
                <w:szCs w:val="1"/>
                <w:color w:val="auto"/>
              </w:rPr>
            </w:pPr>
          </w:p>
        </w:tc>
      </w:tr>
      <w:tr>
        <w:trPr>
          <w:trHeight w:val="202"/>
        </w:trPr>
        <w:tc>
          <w:tcPr>
            <w:tcW w:w="2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Adjustments for Fair Value Equity</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(4,932,886)</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$ 1,677,308</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$ 1,427,938</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jc w:val="right"/>
              <w:ind w:right="143"/>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(2,737,624)</w:t>
            </w:r>
          </w:p>
        </w:tc>
        <w:tc>
          <w:tcPr>
            <w:tcW w:w="0" w:type="dxa"/>
            <w:vAlign w:val="bottom"/>
          </w:tcPr>
          <w:p>
            <w:pPr>
              <w:spacing w:after="0"/>
              <w:rPr>
                <w:sz w:val="1"/>
                <w:szCs w:val="1"/>
                <w:color w:val="auto"/>
              </w:rPr>
            </w:pPr>
          </w:p>
        </w:tc>
      </w:tr>
      <w:tr>
        <w:trPr>
          <w:trHeight w:val="174"/>
        </w:trPr>
        <w:tc>
          <w:tcPr>
            <w:tcW w:w="24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Awards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 (2,122,961)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3"/>
                <w:szCs w:val="13"/>
                <w:color w:val="auto"/>
              </w:rPr>
              <w:t>$ (6,066,000)</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Compensation Actually Paid</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(1,941,901)</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399,127</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$ 4,129,522</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$ 3,972,624</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xml:space="preserve">$ (3,227,270) </w:t>
            </w:r>
            <w:r>
              <w:rPr>
                <w:rFonts w:ascii="Times New Roman" w:cs="Times New Roman" w:eastAsia="Times New Roman" w:hAnsi="Times New Roman"/>
                <w:sz w:val="3"/>
                <w:szCs w:val="3"/>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1"/>
              </w:rPr>
              <w:t>​</w:t>
            </w: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421,826</w:t>
            </w:r>
          </w:p>
        </w:tc>
        <w:tc>
          <w:tcPr>
            <w:tcW w:w="0" w:type="dxa"/>
            <w:vAlign w:val="bottom"/>
          </w:tcPr>
          <w:p>
            <w:pPr>
              <w:spacing w:after="0"/>
              <w:rPr>
                <w:sz w:val="1"/>
                <w:szCs w:val="1"/>
                <w:color w:val="auto"/>
              </w:rPr>
            </w:pPr>
          </w:p>
        </w:tc>
      </w:tr>
      <w:tr>
        <w:trPr>
          <w:trHeight w:val="41"/>
        </w:trPr>
        <w:tc>
          <w:tcPr>
            <w:tcW w:w="24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Analysis of the Information Presented in the Pay Versus Performance Table</w:t>
      </w:r>
    </w:p>
    <w:p>
      <w:pPr>
        <w:spacing w:after="0" w:line="119" w:lineRule="exact"/>
        <w:rPr>
          <w:sz w:val="20"/>
          <w:szCs w:val="20"/>
          <w:color w:val="auto"/>
        </w:rPr>
      </w:pPr>
    </w:p>
    <w:p>
      <w:pPr>
        <w:ind w:left="300" w:right="619"/>
        <w:spacing w:after="0" w:line="261" w:lineRule="auto"/>
        <w:rPr>
          <w:sz w:val="20"/>
          <w:szCs w:val="20"/>
          <w:color w:val="auto"/>
        </w:rPr>
      </w:pPr>
      <w:r>
        <w:rPr>
          <w:rFonts w:ascii="Times New Roman" w:cs="Times New Roman" w:eastAsia="Times New Roman" w:hAnsi="Times New Roman"/>
          <w:sz w:val="18"/>
          <w:szCs w:val="18"/>
          <w:color w:val="auto"/>
        </w:rPr>
        <w:t>We generally seek to incentivize long-term performance, and therefore do not specifically align our performance measures with CAP (as computed in accordance with Item 402(v) of Regulation S-K) for a particular year. In accordance with Item 402(v) of Regulation S-K, we are providing the following descriptions of the relationships between information presented in the Pay Versus Performance table.</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CAP and Net Income (Loss)</w:t>
      </w:r>
    </w:p>
    <w:p>
      <w:pPr>
        <w:spacing w:after="0" w:line="119"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Mr. Sullivan and the average of CAP to our Named Executive Officers as a group (excluding Mr. Sullivan), and our net loss during the two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157480</wp:posOffset>
            </wp:positionV>
            <wp:extent cx="4149090" cy="27774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14909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CAP and Cumulative TSR</w:t>
      </w:r>
    </w:p>
    <w:p>
      <w:pPr>
        <w:spacing w:after="0" w:line="119" w:lineRule="exact"/>
        <w:rPr>
          <w:sz w:val="20"/>
          <w:szCs w:val="20"/>
          <w:color w:val="auto"/>
        </w:rPr>
      </w:pPr>
    </w:p>
    <w:p>
      <w:pPr>
        <w:jc w:val="both"/>
        <w:ind w:left="300" w:right="719"/>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CAP to Mr. Sullivan, the average of CAP to our Named Executive Officers as a group (excluding Mr. Sullivan), and the Company’s cumulative TSR over the two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166370</wp:posOffset>
            </wp:positionV>
            <wp:extent cx="3557270" cy="22028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5727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13" w:lineRule="exact"/>
        <w:rPr>
          <w:sz w:val="20"/>
          <w:szCs w:val="20"/>
          <w:color w:val="auto"/>
        </w:rPr>
      </w:pPr>
    </w:p>
    <w:p>
      <w:pPr>
        <w:ind w:left="300" w:right="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All information provided in this “Pay Versus Performance” section will not be deemed to be incorporated by reference in any filing of the Company under the Securities Act or the Exchange Act, whether made before or after the date hereof and irrespective of any general incorporation language in any such filing.</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3 -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99" w:lineRule="exact"/>
        <w:rPr>
          <w:sz w:val="20"/>
          <w:szCs w:val="20"/>
          <w:color w:val="auto"/>
        </w:rPr>
      </w:pPr>
    </w:p>
    <w:p>
      <w:pPr>
        <w:ind w:left="300" w:right="599"/>
        <w:spacing w:after="0" w:line="256" w:lineRule="auto"/>
        <w:rPr>
          <w:sz w:val="20"/>
          <w:szCs w:val="20"/>
          <w:color w:val="auto"/>
        </w:rPr>
      </w:pPr>
      <w:r>
        <w:rPr>
          <w:rFonts w:ascii="Times New Roman" w:cs="Times New Roman" w:eastAsia="Times New Roman" w:hAnsi="Times New Roman"/>
          <w:sz w:val="18"/>
          <w:szCs w:val="18"/>
          <w:color w:val="auto"/>
        </w:rPr>
        <w:t>The Board understands the interests that our stockholders have in the compensation of our executive officers. In recognition of that interest and as required by Section 14A of the Exchange Act, as created by Section 951 of the Dodd-Frank Act, we are providing our stockholders with the opportunity to vote to approve, on a non-binding, advisory basis, the compensation of our Named Executive Officers as described in this proxy statement. Stockholders will have an opportunity to cast a non-binding, advisory vote on the frequency of advisory votes on executive compensation in Proposal 4.</w:t>
      </w:r>
    </w:p>
    <w:p>
      <w:pPr>
        <w:spacing w:after="0" w:line="79" w:lineRule="exact"/>
        <w:rPr>
          <w:sz w:val="20"/>
          <w:szCs w:val="20"/>
          <w:color w:val="auto"/>
        </w:rPr>
      </w:pPr>
    </w:p>
    <w:p>
      <w:pPr>
        <w:ind w:left="300" w:right="419"/>
        <w:spacing w:after="0" w:line="277" w:lineRule="auto"/>
        <w:rPr>
          <w:sz w:val="20"/>
          <w:szCs w:val="20"/>
          <w:color w:val="auto"/>
        </w:rPr>
      </w:pPr>
      <w:r>
        <w:rPr>
          <w:rFonts w:ascii="Times New Roman" w:cs="Times New Roman" w:eastAsia="Times New Roman" w:hAnsi="Times New Roman"/>
          <w:sz w:val="17"/>
          <w:szCs w:val="17"/>
          <w:color w:val="auto"/>
        </w:rPr>
        <w:t>Our executive compensation programs are designed to attract, motivate, and retain our Named Executive Officers, who are critical to our long-term success and will drive the creation of stockholder value. Our goal is to maintain a compensation program that will fairly compensate our executive officers, attract and retain highly qualified executive officers, motivate the performance of our executive officers towards and reward the achievement of clearly defined corporate goals, and align our executive officers’ long-term interests with those of our stockholders.</w:t>
      </w:r>
    </w:p>
    <w:p>
      <w:pPr>
        <w:spacing w:after="0" w:line="60"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We are asking our stockholders to indicate their support for our Named Executive Officer compensation as described in this proxy statement. This vote is not intended to address any specific item of compensation; rather, it is designed to address the overall compensation of our Named Executive Officers and the philosophy, policies, and practices described in this proxy statement.</w:t>
      </w:r>
    </w:p>
    <w:p>
      <w:pPr>
        <w:spacing w:after="0" w:line="72" w:lineRule="exact"/>
        <w:rPr>
          <w:sz w:val="20"/>
          <w:szCs w:val="20"/>
          <w:color w:val="auto"/>
        </w:rPr>
      </w:pPr>
    </w:p>
    <w:p>
      <w:pPr>
        <w:jc w:val="both"/>
        <w:ind w:left="300" w:right="719"/>
        <w:spacing w:after="0" w:line="266" w:lineRule="auto"/>
        <w:rPr>
          <w:sz w:val="20"/>
          <w:szCs w:val="20"/>
          <w:color w:val="auto"/>
        </w:rPr>
      </w:pPr>
      <w:r>
        <w:rPr>
          <w:rFonts w:ascii="Times New Roman" w:cs="Times New Roman" w:eastAsia="Times New Roman" w:hAnsi="Times New Roman"/>
          <w:sz w:val="18"/>
          <w:szCs w:val="18"/>
          <w:color w:val="auto"/>
        </w:rPr>
        <w:t>For Proposal 3 to be approved, we must receive a “For” vote from the holders of a majority of shares present in person or represented by proxy and entitled to vote on the matter. Abstentions and broker non-votes will not be counted “For” or “Against” the proposal and will have no effect on the proposal.</w:t>
      </w:r>
    </w:p>
    <w:p>
      <w:pPr>
        <w:spacing w:after="0" w:line="68"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Because the vote on Proposal 3 is a non-binding, advisory vote, the result will not be binding on the Board or the Compensation Committee. However, the Board and the Compensation Committee value the opinions of our stockholders and will evaluate whether any actions are necessary to address the stockholders’ concerns and will consider the outcome of the vote when making future executive compensation decisions to the extent that they can determine the cause or causes of any significant negative voting results.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VOTE, ON A NON-BINDING, ADVISORY BASIS, “FOR” PROPOSAL 3.</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4 -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FREQUENCY OF STOCKHOLDER ADVISORY VOTES ON EXECUTIVE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99"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In Proposal 3, we provided our stockholders the opportunity to vote to approve, on a non-binding, advisory basis, the compensation of our Named Executive Officers. In accordance with Section 14A of the Exchange Act, in this Proposal 4, we are asking our stockholders to cast a non-binding, advisory vote regarding the frequency of future stockholder advisory votes on executive compensation. Stockholders may vote for a frequency of every one, two, or three years, or may abstain.</w:t>
      </w:r>
    </w:p>
    <w:p>
      <w:pPr>
        <w:spacing w:after="0" w:line="75"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Compensation Committee has determined that an annual non-binding, advisory vote on executive compensation is in the best interests of the Company and our stockholders. Therefore, the Board recommends that the non-binding, advisory vote on executive compensation be held every year. In formulating its determination, the Compensation Committee was influenced by the fact that the compensation of our Named Executive Officers is evaluated, adjusted, and approved on an annual basis.</w:t>
      </w:r>
    </w:p>
    <w:p>
      <w:pPr>
        <w:spacing w:after="0" w:line="75"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An annual non-binding, advisory vote on executive compensation is consistent with our policy of seeking input from, and engaging in discussions with, our stockholders on corporate governance matters and permits our stockholders to provide us with direct input on the philosophy, policies, and practices described in our proxy statement every year. We understand that our stockholders may have different views as to what is the best approach for us, and we look forward to hearing from our stockholders on this agenda item every year. However, stockholders should note that because the non-binding, advisory vote on executive compensation occurs well after the beginning of the compensation year, and because the different elements of our executive compensation programs are designed to operate in an integrated manner and to complement one another, in many cases it may not be appropriate or feasible to change our executive compensation programs in consideration of any one year’s non-binding, advisory vote on executive compensation by the annual meeting of stockholders in the following year.</w:t>
      </w:r>
    </w:p>
    <w:p>
      <w:pPr>
        <w:spacing w:after="0" w:line="86"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Stockholders may cast their votes by choosing the option of “1 Year,” “2 Years,” “3 Years,” or “Abstain” in response to the frequency of future stockholder advisory votes on executive compensation. The option that receives the highest number of votes cast will be deemed the choice of the stockholders. Therefore, stockholders will not be voting to approve or disapprove the recommendation of the Board. The Compensation Committee will consider the outcome of the vote when determining the frequency of future advisory votes on executive compensation.</w:t>
      </w:r>
    </w:p>
    <w:p>
      <w:pPr>
        <w:spacing w:after="0" w:line="75"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Because this vote is non-binding and advisory, voting results cannot overrule any decisions made by the Board or the Compensation Committee.</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ON A NON-BINDING, ADVISORY BASIS, OF “1 YEAR” ON PROPOSAL 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The Board has adopted a compensation policy with respect to the compensation of our non-employee directors who are not serving due to an affiliation with our investors. Pursuant to this policy, in 2023, each non-employee director received annual cash compensation of $55,000 and the Chair of the Board received an additional $60,000. Additionally, annual cash compensation for committee membership is as follows:</w:t>
      </w:r>
    </w:p>
    <w:p>
      <w:pPr>
        <w:spacing w:after="0" w:line="72" w:lineRule="exact"/>
        <w:rPr>
          <w:sz w:val="20"/>
          <w:szCs w:val="20"/>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chair: $20,000;</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member: $10,000;</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chair: $15,000;</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member: $7,500;</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Governance Committee chair: $10,000;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Governance Committee member: $5,000.</w:t>
      </w:r>
    </w:p>
    <w:p>
      <w:pPr>
        <w:spacing w:after="0" w:line="117" w:lineRule="exact"/>
        <w:rPr>
          <w:sz w:val="20"/>
          <w:szCs w:val="20"/>
          <w:color w:val="auto"/>
        </w:rPr>
      </w:pPr>
    </w:p>
    <w:p>
      <w:pPr>
        <w:jc w:val="both"/>
        <w:ind w:left="300" w:right="519"/>
        <w:spacing w:after="0" w:line="312" w:lineRule="auto"/>
        <w:rPr>
          <w:sz w:val="20"/>
          <w:szCs w:val="20"/>
          <w:color w:val="auto"/>
        </w:rPr>
      </w:pPr>
      <w:r>
        <w:rPr>
          <w:rFonts w:ascii="Times New Roman" w:cs="Times New Roman" w:eastAsia="Times New Roman" w:hAnsi="Times New Roman"/>
          <w:sz w:val="17"/>
          <w:szCs w:val="17"/>
          <w:color w:val="auto"/>
        </w:rPr>
        <w:t>All annual cash compensation amounts are payable in equal quarterly installments. Cash retainers are prorated for any partial year service. Eligible directors may elect to receive cash retainers in the form of vested common stock.</w:t>
      </w:r>
    </w:p>
    <w:p>
      <w:pPr>
        <w:spacing w:after="0" w:line="32"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In 2023: (i) each eligible director who continued to serve as a director following our 2023 annual meeting of stockholders was granted restricted stock units valued at $100,000, vesting in full one year from the grant date and, in any event, vesting on the date of the next annual meeting of our stockholders or upon a change in control of the Company, subject to continued service as a director through the applicable vesting date; and (ii) Mr. Cascella, the non-executive Chair of the Board, received additional restricted stock units valued at $25,000 for his service as the non-executive Chair.</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Mr. Sullivan, our President and Chief Executive Officer, receives no compensation for his service as a director.</w:t>
      </w:r>
    </w:p>
    <w:p>
      <w:pPr>
        <w:spacing w:after="0" w:line="117"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The following table provides information for the year ended December 31, 2023 regarding all compensation awarded to, earned by or paid to each person who served as a non-employee director during the year ended December 31, 2023. Other than as set forth in the table and the narrative that follows it, in the year ended December 31, 2023, we did not pay any fees to our non-employee directors, make any equity or non-equity awards to non-employee directors or pay any other compensation to non-employee directors.</w:t>
      </w:r>
    </w:p>
    <w:p>
      <w:pPr>
        <w:spacing w:after="0" w:line="75" w:lineRule="exact"/>
        <w:rPr>
          <w:sz w:val="20"/>
          <w:szCs w:val="20"/>
          <w:color w:val="auto"/>
        </w:rPr>
      </w:pPr>
    </w:p>
    <w:p>
      <w:pPr>
        <w:ind w:left="300" w:right="899"/>
        <w:spacing w:after="0" w:line="312" w:lineRule="auto"/>
        <w:rPr>
          <w:sz w:val="20"/>
          <w:szCs w:val="20"/>
          <w:color w:val="auto"/>
        </w:rPr>
      </w:pPr>
      <w:r>
        <w:rPr>
          <w:rFonts w:ascii="Times New Roman" w:cs="Times New Roman" w:eastAsia="Times New Roman" w:hAnsi="Times New Roman"/>
          <w:sz w:val="17"/>
          <w:szCs w:val="17"/>
          <w:color w:val="auto"/>
        </w:rPr>
        <w:t>All compensation that we paid to Mr. Sullivan, our only employee director in 2023, is presented in the tables summarizing Named Executive Officer compensation in the section entitled “Executive Compensation.”</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Director Compensation Table</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20" w:type="dxa"/>
            <w:vAlign w:val="bottom"/>
          </w:tcPr>
          <w:p>
            <w:pPr>
              <w:spacing w:after="0"/>
              <w:rPr>
                <w:sz w:val="16"/>
                <w:szCs w:val="16"/>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12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40" w:type="dxa"/>
            <w:vAlign w:val="bottom"/>
            <w:gridSpan w:val="2"/>
            <w:vMerge w:val="continue"/>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020" w:type="dxa"/>
            <w:vAlign w:val="bottom"/>
            <w:gridSpan w:val="2"/>
            <w:vMerge w:val="continue"/>
          </w:tcPr>
          <w:p>
            <w:pPr>
              <w:spacing w:after="0"/>
              <w:rPr>
                <w:sz w:val="13"/>
                <w:szCs w:val="13"/>
                <w:color w:val="auto"/>
              </w:rPr>
            </w:pPr>
          </w:p>
        </w:tc>
        <w:tc>
          <w:tcPr>
            <w:tcW w:w="7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in Cash ($)</w:t>
            </w:r>
          </w:p>
        </w:tc>
        <w:tc>
          <w:tcPr>
            <w:tcW w:w="78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(1)</w:t>
            </w:r>
          </w:p>
        </w:tc>
        <w:tc>
          <w:tcPr>
            <w:tcW w:w="120" w:type="dxa"/>
            <w:vAlign w:val="bottom"/>
          </w:tcPr>
          <w:p>
            <w:pPr>
              <w:spacing w:after="0"/>
              <w:rPr>
                <w:sz w:val="13"/>
                <w:szCs w:val="13"/>
                <w:color w:val="auto"/>
              </w:rPr>
            </w:pPr>
          </w:p>
        </w:tc>
        <w:tc>
          <w:tcPr>
            <w:tcW w:w="940" w:type="dxa"/>
            <w:vAlign w:val="bottom"/>
          </w:tcPr>
          <w:p>
            <w:pPr>
              <w:jc w:val="center"/>
              <w:spacing w:after="0" w:line="151"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3"/>
                <w:szCs w:val="13"/>
                <w:color w:val="auto"/>
              </w:rPr>
            </w:pPr>
          </w:p>
        </w:tc>
        <w:tc>
          <w:tcPr>
            <w:tcW w:w="920" w:type="dxa"/>
            <w:vAlign w:val="bottom"/>
          </w:tcPr>
          <w:p>
            <w:pPr>
              <w:ind w:left="360"/>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6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90"/>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20" w:type="dxa"/>
            <w:vAlign w:val="bottom"/>
          </w:tcPr>
          <w:p>
            <w:pPr>
              <w:spacing w:after="0"/>
              <w:rPr>
                <w:sz w:val="16"/>
                <w:szCs w:val="16"/>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(h)</w:t>
            </w:r>
          </w:p>
        </w:tc>
        <w:tc>
          <w:tcPr>
            <w:tcW w:w="0" w:type="dxa"/>
            <w:vAlign w:val="bottom"/>
          </w:tcPr>
          <w:p>
            <w:pPr>
              <w:spacing w:after="0"/>
              <w:rPr>
                <w:sz w:val="1"/>
                <w:szCs w:val="1"/>
                <w:color w:val="auto"/>
              </w:rPr>
            </w:pPr>
          </w:p>
        </w:tc>
      </w:tr>
      <w:tr>
        <w:trPr>
          <w:trHeight w:val="50"/>
        </w:trPr>
        <w:tc>
          <w:tcPr>
            <w:tcW w:w="3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K. Bakewell</w:t>
            </w:r>
            <w:r>
              <w:rPr>
                <w:rFonts w:ascii="Times New Roman" w:cs="Times New Roman" w:eastAsia="Times New Roman" w:hAnsi="Times New Roman"/>
                <w:sz w:val="29"/>
                <w:szCs w:val="29"/>
                <w:color w:val="auto"/>
                <w:vertAlign w:val="superscript"/>
              </w:rPr>
              <w:t>(2)</w:t>
            </w:r>
          </w:p>
        </w:tc>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$ 80,000</w:t>
            </w:r>
          </w:p>
        </w:tc>
        <w:tc>
          <w:tcPr>
            <w:tcW w:w="78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w w:val="97"/>
              </w:rPr>
              <w:t>$100,001</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$180,001</w:t>
            </w:r>
          </w:p>
        </w:tc>
        <w:tc>
          <w:tcPr>
            <w:tcW w:w="0" w:type="dxa"/>
            <w:vAlign w:val="bottom"/>
          </w:tcPr>
          <w:p>
            <w:pPr>
              <w:spacing w:after="0"/>
              <w:rPr>
                <w:sz w:val="1"/>
                <w:szCs w:val="1"/>
                <w:color w:val="auto"/>
              </w:rPr>
            </w:pPr>
          </w:p>
        </w:tc>
      </w:tr>
      <w:tr>
        <w:trPr>
          <w:trHeight w:val="365"/>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Casella</w:t>
            </w:r>
            <w:r>
              <w:rPr>
                <w:rFonts w:ascii="Times New Roman" w:cs="Times New Roman" w:eastAsia="Times New Roman" w:hAnsi="Times New Roman"/>
                <w:sz w:val="29"/>
                <w:szCs w:val="29"/>
                <w:color w:val="auto"/>
                <w:vertAlign w:val="superscript"/>
              </w:rPr>
              <w:t>(3)</w:t>
            </w: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$120,000</w:t>
            </w:r>
          </w:p>
        </w:tc>
        <w:tc>
          <w:tcPr>
            <w:tcW w:w="780" w:type="dxa"/>
            <w:vAlign w:val="bottom"/>
            <w:gridSpan w:val="2"/>
          </w:tcPr>
          <w:p>
            <w:pPr>
              <w:jc w:val="center"/>
              <w:ind w:left="36"/>
              <w:spacing w:after="0"/>
              <w:rPr>
                <w:sz w:val="20"/>
                <w:szCs w:val="20"/>
                <w:color w:val="auto"/>
              </w:rPr>
            </w:pPr>
            <w:r>
              <w:rPr>
                <w:rFonts w:ascii="Times New Roman" w:cs="Times New Roman" w:eastAsia="Times New Roman" w:hAnsi="Times New Roman"/>
                <w:sz w:val="18"/>
                <w:szCs w:val="18"/>
                <w:color w:val="auto"/>
                <w:w w:val="97"/>
              </w:rPr>
              <w:t>$125,001</w:t>
            </w:r>
          </w:p>
        </w:tc>
        <w:tc>
          <w:tcPr>
            <w:tcW w:w="12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$245,001</w:t>
            </w:r>
          </w:p>
        </w:tc>
        <w:tc>
          <w:tcPr>
            <w:tcW w:w="0" w:type="dxa"/>
            <w:vAlign w:val="bottom"/>
          </w:tcPr>
          <w:p>
            <w:pPr>
              <w:spacing w:after="0"/>
              <w:rPr>
                <w:sz w:val="1"/>
                <w:szCs w:val="1"/>
                <w:color w:val="auto"/>
              </w:rPr>
            </w:pPr>
          </w:p>
        </w:tc>
      </w:tr>
      <w:tr>
        <w:trPr>
          <w:trHeight w:val="365"/>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Sheryl L. Conley</w:t>
            </w:r>
            <w:r>
              <w:rPr>
                <w:rFonts w:ascii="Times New Roman" w:cs="Times New Roman" w:eastAsia="Times New Roman" w:hAnsi="Times New Roman"/>
                <w:sz w:val="29"/>
                <w:szCs w:val="29"/>
                <w:color w:val="auto"/>
                <w:vertAlign w:val="superscript"/>
              </w:rPr>
              <w:t>(4)</w:t>
            </w:r>
          </w:p>
        </w:tc>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$ 75,000</w:t>
            </w:r>
          </w:p>
        </w:tc>
        <w:tc>
          <w:tcPr>
            <w:tcW w:w="78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w w:val="97"/>
              </w:rPr>
              <w:t>$100,001</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$175,001</w:t>
            </w:r>
          </w:p>
        </w:tc>
        <w:tc>
          <w:tcPr>
            <w:tcW w:w="0" w:type="dxa"/>
            <w:vAlign w:val="bottom"/>
          </w:tcPr>
          <w:p>
            <w:pPr>
              <w:spacing w:after="0"/>
              <w:rPr>
                <w:sz w:val="1"/>
                <w:szCs w:val="1"/>
                <w:color w:val="auto"/>
              </w:rPr>
            </w:pPr>
          </w:p>
        </w:tc>
      </w:tr>
      <w:tr>
        <w:trPr>
          <w:trHeight w:val="365"/>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Wilfred E. Jaeger, M.D.</w:t>
            </w:r>
            <w:r>
              <w:rPr>
                <w:rFonts w:ascii="Times New Roman" w:cs="Times New Roman" w:eastAsia="Times New Roman" w:hAnsi="Times New Roman"/>
                <w:sz w:val="29"/>
                <w:szCs w:val="29"/>
                <w:color w:val="auto"/>
                <w:vertAlign w:val="superscript"/>
              </w:rPr>
              <w:t>(5)</w:t>
            </w: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$ 62,500</w:t>
            </w:r>
          </w:p>
        </w:tc>
        <w:tc>
          <w:tcPr>
            <w:tcW w:w="780" w:type="dxa"/>
            <w:vAlign w:val="bottom"/>
            <w:gridSpan w:val="2"/>
          </w:tcPr>
          <w:p>
            <w:pPr>
              <w:jc w:val="center"/>
              <w:ind w:left="36"/>
              <w:spacing w:after="0"/>
              <w:rPr>
                <w:sz w:val="20"/>
                <w:szCs w:val="20"/>
                <w:color w:val="auto"/>
              </w:rPr>
            </w:pPr>
            <w:r>
              <w:rPr>
                <w:rFonts w:ascii="Times New Roman" w:cs="Times New Roman" w:eastAsia="Times New Roman" w:hAnsi="Times New Roman"/>
                <w:sz w:val="18"/>
                <w:szCs w:val="18"/>
                <w:color w:val="auto"/>
                <w:w w:val="97"/>
              </w:rPr>
              <w:t>$100,001</w:t>
            </w:r>
          </w:p>
        </w:tc>
        <w:tc>
          <w:tcPr>
            <w:tcW w:w="12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$162,501</w:t>
            </w:r>
          </w:p>
        </w:tc>
        <w:tc>
          <w:tcPr>
            <w:tcW w:w="0" w:type="dxa"/>
            <w:vAlign w:val="bottom"/>
          </w:tcPr>
          <w:p>
            <w:pPr>
              <w:spacing w:after="0"/>
              <w:rPr>
                <w:sz w:val="1"/>
                <w:szCs w:val="1"/>
                <w:color w:val="auto"/>
              </w:rPr>
            </w:pPr>
          </w:p>
        </w:tc>
      </w:tr>
      <w:tr>
        <w:trPr>
          <w:trHeight w:val="364"/>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Glenn P. Muir</w:t>
            </w:r>
            <w:r>
              <w:rPr>
                <w:rFonts w:ascii="Times New Roman" w:cs="Times New Roman" w:eastAsia="Times New Roman" w:hAnsi="Times New Roman"/>
                <w:sz w:val="29"/>
                <w:szCs w:val="29"/>
                <w:color w:val="auto"/>
                <w:vertAlign w:val="superscript"/>
              </w:rPr>
              <w:t>(6)</w:t>
            </w:r>
          </w:p>
        </w:tc>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$ 82,500</w:t>
            </w:r>
          </w:p>
        </w:tc>
        <w:tc>
          <w:tcPr>
            <w:tcW w:w="78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w w:val="97"/>
              </w:rPr>
              <w:t>$100,001</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$182,501</w:t>
            </w:r>
          </w:p>
        </w:tc>
        <w:tc>
          <w:tcPr>
            <w:tcW w:w="0" w:type="dxa"/>
            <w:vAlign w:val="bottom"/>
          </w:tcPr>
          <w:p>
            <w:pPr>
              <w:spacing w:after="0"/>
              <w:rPr>
                <w:sz w:val="1"/>
                <w:szCs w:val="1"/>
                <w:color w:val="auto"/>
              </w:rPr>
            </w:pPr>
          </w:p>
        </w:tc>
      </w:tr>
      <w:tr>
        <w:trPr>
          <w:trHeight w:val="365"/>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Megan Rosengarten</w:t>
            </w:r>
            <w:r>
              <w:rPr>
                <w:rFonts w:ascii="Times New Roman" w:cs="Times New Roman" w:eastAsia="Times New Roman" w:hAnsi="Times New Roman"/>
                <w:sz w:val="29"/>
                <w:szCs w:val="29"/>
                <w:color w:val="auto"/>
                <w:vertAlign w:val="superscript"/>
              </w:rPr>
              <w:t>(7)</w:t>
            </w: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$ 62,500</w:t>
            </w:r>
          </w:p>
        </w:tc>
        <w:tc>
          <w:tcPr>
            <w:tcW w:w="780" w:type="dxa"/>
            <w:vAlign w:val="bottom"/>
            <w:gridSpan w:val="2"/>
          </w:tcPr>
          <w:p>
            <w:pPr>
              <w:jc w:val="center"/>
              <w:ind w:left="36"/>
              <w:spacing w:after="0"/>
              <w:rPr>
                <w:sz w:val="20"/>
                <w:szCs w:val="20"/>
                <w:color w:val="auto"/>
              </w:rPr>
            </w:pPr>
            <w:r>
              <w:rPr>
                <w:rFonts w:ascii="Times New Roman" w:cs="Times New Roman" w:eastAsia="Times New Roman" w:hAnsi="Times New Roman"/>
                <w:sz w:val="18"/>
                <w:szCs w:val="18"/>
                <w:color w:val="auto"/>
                <w:w w:val="97"/>
              </w:rPr>
              <w:t>$100,001</w:t>
            </w:r>
          </w:p>
        </w:tc>
        <w:tc>
          <w:tcPr>
            <w:tcW w:w="12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$162,501</w:t>
            </w:r>
          </w:p>
        </w:tc>
        <w:tc>
          <w:tcPr>
            <w:tcW w:w="0" w:type="dxa"/>
            <w:vAlign w:val="bottom"/>
          </w:tcPr>
          <w:p>
            <w:pPr>
              <w:spacing w:after="0"/>
              <w:rPr>
                <w:sz w:val="1"/>
                <w:szCs w:val="1"/>
                <w:color w:val="auto"/>
              </w:rPr>
            </w:pPr>
          </w:p>
        </w:tc>
      </w:tr>
      <w:tr>
        <w:trPr>
          <w:trHeight w:val="364"/>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Joseph H. Capper </w:t>
            </w:r>
            <w:r>
              <w:rPr>
                <w:rFonts w:ascii="Times New Roman" w:cs="Times New Roman" w:eastAsia="Times New Roman" w:hAnsi="Times New Roman"/>
                <w:sz w:val="29"/>
                <w:szCs w:val="29"/>
                <w:color w:val="auto"/>
                <w:vertAlign w:val="superscript"/>
              </w:rPr>
              <w:t>(8)</w:t>
            </w:r>
          </w:p>
        </w:tc>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$ 65,000</w:t>
            </w:r>
          </w:p>
        </w:tc>
        <w:tc>
          <w:tcPr>
            <w:tcW w:w="78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w w:val="97"/>
              </w:rPr>
              <w:t>$100,001</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$165,001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-1636395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-1636395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-1636395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-1636395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-1636395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right="339" w:hanging="348"/>
        <w:spacing w:after="0" w:line="231"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the options to purchase shares of our common stock and restricted stock unit awards that may be settled for shares of our common stock granted to our non-employee directors in 2022, calculated in accordance with the Financial Accounting Standard Board’s ASC Topic 718. Such grant date fair values do not take into account any estimated forfeitures related to service-vesting conditions. See Note 15 (Share Based Compensation) to our financial statements as included in our Annual Report on Form 10-K filed with the SEC on March 8, 2023 for the assumptions used in calculating the grant date fair value of the stock options and stock awards reported in these columns.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Mr. Bakewell held 36,364 shares of unvested restricted common stock.</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hanging="348"/>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Mr. Cascella held 45,455 shares of unvested restricted common stock.</w:t>
      </w:r>
    </w:p>
    <w:p>
      <w:pPr>
        <w:spacing w:after="0" w:line="41" w:lineRule="exact"/>
        <w:rPr>
          <w:rFonts w:ascii="Times New Roman" w:cs="Times New Roman" w:eastAsia="Times New Roman" w:hAnsi="Times New Roman"/>
          <w:sz w:val="14"/>
          <w:szCs w:val="14"/>
          <w:color w:val="auto"/>
        </w:rPr>
      </w:pPr>
    </w:p>
    <w:p>
      <w:pPr>
        <w:ind w:left="640" w:right="439" w:hanging="348"/>
        <w:spacing w:after="0" w:line="26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Ms. Conley held 36,364 shares of unvested restricted common stock and 6,630 exercisable options to purchase shares of common stock.</w:t>
      </w:r>
    </w:p>
    <w:p>
      <w:pPr>
        <w:ind w:left="640" w:right="459" w:hanging="348"/>
        <w:spacing w:after="0" w:line="26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Dr. Jaeger held 36,364 shares of unvested restricted common stock and 16,102 exercisable options to purchase shares of common stock.</w:t>
      </w:r>
    </w:p>
    <w:p>
      <w:pPr>
        <w:ind w:left="640" w:right="519" w:hanging="348"/>
        <w:spacing w:after="0" w:line="26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Mr. Muir held 36,364 shares of unvested restricted common stock and 36,802 exercisable options to purchase shares of common stock.</w:t>
      </w:r>
    </w:p>
    <w:p>
      <w:pPr>
        <w:ind w:left="640" w:hanging="348"/>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Ms. Rosengarten held 36,364 shares of unvested restricted common stock.</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Mr. Capper held 36,364 shares of unvested restricted common stock.</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We adopted a written Related Person Transactions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84"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Under the Related Person Transactions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the Audit Committee or, if Audit Committee approval would be inappropriate, to another independent body of the Board, for review, consideration and approval or ratification. The presentation must include a description of, among other things, the material facts, interests, direct and indirect, of the related persons,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 person transactions and to effectuate the terms of the policy. In addition, under our Code of Conduct, our employees and directors have an affirmative responsibility to disclose any transaction or relationship that reasonably could be expected to give rise to a conflict of interest. In considering related person transactions, the Audit Committee, or other independent body of the Board, is required to take into account the relevant available facts and circumstances including, but not limited to:</w:t>
      </w:r>
    </w:p>
    <w:p>
      <w:pPr>
        <w:spacing w:after="0" w:line="88" w:lineRule="exact"/>
        <w:rPr>
          <w:sz w:val="20"/>
          <w:szCs w:val="20"/>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us;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that the related person is a director, immediate family member of a director or an entity with which a director is affiliated;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117" w:lineRule="exact"/>
        <w:rPr>
          <w:rFonts w:ascii="Times New Roman" w:cs="Times New Roman" w:eastAsia="Times New Roman" w:hAnsi="Times New Roman"/>
          <w:sz w:val="18"/>
          <w:szCs w:val="18"/>
          <w:color w:val="auto"/>
        </w:rPr>
      </w:pPr>
    </w:p>
    <w:p>
      <w:pPr>
        <w:ind w:left="1000" w:right="99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w:t>
      </w:r>
    </w:p>
    <w:p>
      <w:pPr>
        <w:spacing w:after="0" w:line="54"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The Related Person Transactions Policy requires that, in determining whether to approve, ratify or reject a related person transaction, the Audit Committee, or other independent body of the Board, must consider, in light of known circumstances, whether the transaction is in, or is not inconsistent with, our best interests and those of our stockholders, as the Audit Committee, or other independent body of the Board, determines in the good faith exercise of its discretion.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Related Person Transactions</w:t>
      </w:r>
    </w:p>
    <w:p>
      <w:pPr>
        <w:spacing w:after="0" w:line="121"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Described below are the transactions to which we were a party and in which (i) the amounts involved exceeded or will exceed $120,000, and (ii) a director, executive officer, holder of more than 5% of our outstanding common stock, or any member of such person’s immediate family had or will have a direct or indirect material interest, other than the equity and other compensation agreements that are described under “Executive Compensation” and “Director Compensation.” We believe the terms obtained or consideration that we paid or received, as applicable, in connection with the transactions described below were comparable to terms available or the amounts that would be paid or received, as applicable, in arm’s-length transactions with unrelated third parties.</w:t>
      </w:r>
    </w:p>
    <w:p>
      <w:pPr>
        <w:spacing w:after="0" w:line="81" w:lineRule="exact"/>
        <w:rPr>
          <w:sz w:val="20"/>
          <w:szCs w:val="20"/>
          <w:color w:val="auto"/>
        </w:rPr>
      </w:pPr>
    </w:p>
    <w:p>
      <w:pPr>
        <w:ind w:left="1000" w:right="399" w:hanging="348"/>
        <w:spacing w:after="0" w:line="274" w:lineRule="auto"/>
        <w:tabs>
          <w:tab w:leader="none" w:pos="10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entered into indemnification agreements with each of our directors and executive officers. These agreements, among other things,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as the case may be.</w:t>
      </w:r>
    </w:p>
    <w:p>
      <w:pPr>
        <w:spacing w:after="0" w:line="64" w:lineRule="exact"/>
        <w:rPr>
          <w:rFonts w:ascii="Times New Roman" w:cs="Times New Roman" w:eastAsia="Times New Roman" w:hAnsi="Times New Roman"/>
          <w:sz w:val="17"/>
          <w:szCs w:val="17"/>
          <w:color w:val="auto"/>
        </w:rPr>
      </w:pPr>
    </w:p>
    <w:p>
      <w:pPr>
        <w:ind w:left="1000" w:right="319" w:hanging="348"/>
        <w:spacing w:after="0" w:line="258"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Sullivan’s son is employed by us in a sales function and is compensated and evaluated on a substantially similar basis as our other similarly situated employees, in an amount in excess of $120,000, including a significant variable commission component which can change from year-to-year and which we therefore cannot estimate. The Audit Committee reviewed and pre-approved this related person transaction under our Related Person Transactions Policy.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The Company intends to present, at its 2025 annual stockholder meeting, a proposal that will allow stockholders to eliminate the supermajority voting requirements as set forth in the Company’s Certificate of Incorporation.</w:t>
      </w:r>
    </w:p>
    <w:p>
      <w:pPr>
        <w:spacing w:after="0" w:line="54" w:lineRule="exact"/>
        <w:rPr>
          <w:sz w:val="20"/>
          <w:szCs w:val="20"/>
          <w:color w:val="auto"/>
        </w:rPr>
      </w:pPr>
    </w:p>
    <w:p>
      <w:pPr>
        <w:ind w:left="300" w:right="599"/>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21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291465</wp:posOffset>
            </wp:positionV>
            <wp:extent cx="1791335" cy="2400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9133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4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W. Andrew Macan</w:t>
      </w:r>
    </w:p>
    <w:p>
      <w:pPr>
        <w:spacing w:after="0" w:line="200" w:lineRule="exact"/>
        <w:rPr>
          <w:sz w:val="20"/>
          <w:szCs w:val="20"/>
          <w:color w:val="auto"/>
        </w:rPr>
      </w:pPr>
    </w:p>
    <w:p>
      <w:pPr>
        <w:spacing w:after="0" w:line="24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Executive Vice President, General Counsel, Chief Compliance</w:t>
      </w:r>
    </w:p>
    <w:p>
      <w:pPr>
        <w:spacing w:after="0" w:line="1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Officer and Corporate Secretary</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11, 2024</w:t>
      </w:r>
    </w:p>
    <w:p>
      <w:pPr>
        <w:spacing w:after="0" w:line="113" w:lineRule="exact"/>
        <w:rPr>
          <w:sz w:val="20"/>
          <w:szCs w:val="20"/>
          <w:color w:val="auto"/>
        </w:rPr>
      </w:pPr>
    </w:p>
    <w:p>
      <w:pPr>
        <w:ind w:left="300" w:right="559"/>
        <w:spacing w:after="0" w:line="268" w:lineRule="auto"/>
        <w:rPr>
          <w:sz w:val="20"/>
          <w:szCs w:val="20"/>
          <w:color w:val="auto"/>
        </w:rPr>
      </w:pPr>
      <w:r>
        <w:rPr>
          <w:rFonts w:ascii="Times New Roman" w:cs="Times New Roman" w:eastAsia="Times New Roman" w:hAnsi="Times New Roman"/>
          <w:sz w:val="18"/>
          <w:szCs w:val="18"/>
          <w:b w:val="1"/>
          <w:bCs w:val="1"/>
          <w:color w:val="auto"/>
        </w:rPr>
        <w:t>A printed copy of the Company’s Annual Report to the SEC on Form 10-K for the fiscal year ended December 31, 2023 is available without charge upon written request to Neuronetics, Inc., 3222 Phoenixville Pike, Malvern, Pennsylvania 19355, Attention: Corporate Secretary.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lvl w:ilvl="1">
      <w:lvlJc w:val="left"/>
      <w:lvlText w:val="☐"/>
      <w:numFmt w:val="bullet"/>
      <w:start w:val="1"/>
    </w:lvl>
  </w:abstractNum>
  <w:abstractNum w:abstractNumId="1">
    <w:nsid w:val="519B500D"/>
    <w:multiLevelType w:val="hybridMultilevel"/>
    <w:lvl w:ilvl="0">
      <w:lvlJc w:val="left"/>
      <w:lvlText w:val="☑"/>
      <w:numFmt w:val="bullet"/>
      <w:start w:val="1"/>
    </w:lvl>
    <w:lvl w:ilvl="1">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bullet"/>
      <w:start w:val="1"/>
    </w:lvl>
  </w:abstractNum>
  <w:abstractNum w:abstractNumId="8">
    <w:nsid w:val="628C895D"/>
    <w:multiLevelType w:val="hybridMultilevel"/>
    <w:lvl w:ilvl="0">
      <w:lvlJc w:val="left"/>
      <w:lvlText w:val="2"/>
      <w:numFmt w:val="bullet"/>
      <w:start w:val="1"/>
    </w:lvl>
  </w:abstractNum>
  <w:abstractNum w:abstractNumId="9">
    <w:nsid w:val="333AB105"/>
    <w:multiLevelType w:val="hybridMultilevel"/>
    <w:lvl w:ilvl="0">
      <w:lvlJc w:val="left"/>
      <w:lvlText w:val="3"/>
      <w:numFmt w:val="bullet"/>
      <w:start w:val="1"/>
    </w:lvl>
  </w:abstractNum>
  <w:abstractNum w:abstractNumId="10">
    <w:nsid w:val="721DA317"/>
    <w:multiLevelType w:val="hybridMultilevel"/>
    <w:lvl w:ilvl="0">
      <w:lvlJc w:val="left"/>
      <w:lvlText w:val="4"/>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amp;"/>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1"/>
    </w:lvl>
    <w:lvl w:ilvl="1">
      <w:lvlJc w:val="left"/>
      <w:lvlText w:val="(%2)"/>
      <w:numFmt w:val="lowerLetter"/>
      <w:start w:val="1"/>
    </w:lvl>
  </w:abstractNum>
  <w:abstractNum w:abstractNumId="22">
    <w:nsid w:val="2CA88611"/>
    <w:multiLevelType w:val="hybridMultilevel"/>
    <w:lvl w:ilvl="0">
      <w:lvlJc w:val="left"/>
      <w:lvlText w:val="(%1)"/>
      <w:numFmt w:val="decimal"/>
      <w:start w:val="3"/>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6"/>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3"/>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2024-04-11T15:13:43Z</dcterms:created>
  <dcterms:modified xsi:type="dcterms:W3CDTF">2024-04-11T15:13:43Z</dcterms:modified>
</cp:coreProperties>
</file>