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NEURONETICS,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p>
      <w:pPr>
        <w:spacing w:after="0" w:line="196"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33-1051425</w:t>
      </w:r>
    </w:p>
    <w:p>
      <w:pPr>
        <w:spacing w:after="0" w:line="26" w:lineRule="exact"/>
        <w:rPr>
          <w:sz w:val="24"/>
          <w:szCs w:val="24"/>
          <w:color w:val="auto"/>
        </w:rPr>
      </w:pPr>
    </w:p>
    <w:p>
      <w:pPr>
        <w:jc w:val="center"/>
        <w:ind w:right="1520"/>
        <w:spacing w:after="0"/>
        <w:rPr>
          <w:sz w:val="20"/>
          <w:szCs w:val="20"/>
          <w:color w:val="auto"/>
        </w:rPr>
      </w:pPr>
      <w:r>
        <w:rPr>
          <w:rFonts w:ascii="Arial" w:cs="Arial" w:eastAsia="Arial" w:hAnsi="Arial"/>
          <w:sz w:val="15"/>
          <w:szCs w:val="15"/>
          <w:b w:val="1"/>
          <w:bCs w:val="1"/>
          <w:color w:val="auto"/>
        </w:rPr>
        <w:t>(I.R.S. Employer Identification No.)</w:t>
      </w:r>
    </w:p>
    <w:p>
      <w:pPr>
        <w:spacing w:after="0" w:line="306" w:lineRule="exact"/>
        <w:rPr>
          <w:sz w:val="24"/>
          <w:szCs w:val="24"/>
          <w:color w:val="auto"/>
        </w:rPr>
      </w:pPr>
    </w:p>
    <w:p>
      <w:pPr>
        <w:sectPr>
          <w:pgSz w:w="11900" w:h="16838" w:orient="portrait"/>
          <w:cols w:equalWidth="0" w:num="2">
            <w:col w:w="6680" w:space="720"/>
            <w:col w:w="4000"/>
          </w:cols>
          <w:pgMar w:left="240" w:top="328"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3222 Phoenixville Pike, Malvern, Pennsylvania 19355</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(610) 640-4202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132080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7" w:lineRule="exact"/>
        <w:rPr>
          <w:sz w:val="24"/>
          <w:szCs w:val="24"/>
          <w:color w:val="auto"/>
        </w:rPr>
      </w:pPr>
    </w:p>
    <w:tbl>
      <w:tblPr>
        <w:tblLayout w:type="fixed"/>
        <w:tblInd w:w="2760" w:type="dxa"/>
        <w:tblCellMar>
          <w:top w:w="0" w:type="dxa"/>
          <w:left w:w="0" w:type="dxa"/>
          <w:bottom w:w="0" w:type="dxa"/>
          <w:right w:w="0" w:type="dxa"/>
        </w:tblCellMar>
      </w:tblPr>
      <w:tr>
        <w:trPr>
          <w:trHeight w:val="184"/>
        </w:trPr>
        <w:tc>
          <w:tcPr>
            <w:tcW w:w="7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940" w:type="dxa"/>
            <w:vAlign w:val="bottom"/>
          </w:tcPr>
          <w:p>
            <w:pPr>
              <w:spacing w:after="0"/>
              <w:rPr>
                <w:sz w:val="15"/>
                <w:szCs w:val="15"/>
                <w:color w:val="auto"/>
              </w:rPr>
            </w:pPr>
          </w:p>
        </w:tc>
        <w:tc>
          <w:tcPr>
            <w:tcW w:w="318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292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Common Stock, par value $0.01 per share</w:t>
            </w:r>
          </w:p>
        </w:tc>
        <w:tc>
          <w:tcPr>
            <w:tcW w:w="1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64" w:lineRule="exact"/>
        <w:rPr>
          <w:sz w:val="24"/>
          <w:szCs w:val="24"/>
          <w:color w:val="auto"/>
        </w:rPr>
      </w:pPr>
    </w:p>
    <w:p>
      <w:pPr>
        <w:ind w:right="3560" w:firstLine="3656"/>
        <w:spacing w:after="0" w:line="244" w:lineRule="exact"/>
        <w:rPr>
          <w:sz w:val="20"/>
          <w:szCs w:val="20"/>
          <w:color w:val="auto"/>
        </w:rPr>
      </w:pPr>
      <w:r>
        <w:rPr>
          <w:rFonts w:ascii="Arial" w:cs="Arial" w:eastAsia="Arial" w:hAnsi="Arial"/>
          <w:sz w:val="15"/>
          <w:szCs w:val="15"/>
          <w:color w:val="auto"/>
        </w:rPr>
        <w:t xml:space="preserve">Securities registered pursuant to section 12(g) of the Act: None </w:t>
      </w: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6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spacing w:after="0" w:line="150" w:lineRule="exact"/>
        <w:tabs>
          <w:tab w:leader="none" w:pos="76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07" w:lineRule="exact"/>
        <w:rPr>
          <w:sz w:val="24"/>
          <w:szCs w:val="24"/>
          <w:color w:val="auto"/>
        </w:rPr>
      </w:pPr>
    </w:p>
    <w:p>
      <w:pPr>
        <w:ind w:right="20" w:firstLine="518"/>
        <w:spacing w:after="0" w:line="238"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2018) was approximately $352.4 million after giving effect to the closing of the registrant’s initial public offering on July 2, 2018.</w:t>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28, 2019 was 18,054,628.</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2"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2019 Annual Meeting of Stockholders, which will be filed with the Securities and Exchange Commission within 120 days after the end of the Registrant’s fiscal year ended December 31,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year ended December 31, 2018</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60" w:type="dxa"/>
            <w:vAlign w:val="bottom"/>
          </w:tcPr>
          <w:p>
            <w:pPr>
              <w:spacing w:after="0"/>
              <w:rPr>
                <w:sz w:val="14"/>
                <w:szCs w:val="14"/>
                <w:color w:val="auto"/>
              </w:rPr>
            </w:pPr>
          </w:p>
        </w:tc>
      </w:tr>
      <w:tr>
        <w:trPr>
          <w:trHeight w:val="291"/>
        </w:trPr>
        <w:tc>
          <w:tcPr>
            <w:tcW w:w="1022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30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20" w:type="dxa"/>
            <w:vAlign w:val="bottom"/>
            <w:gridSpan w:val="11"/>
          </w:tcPr>
          <w:p>
            <w:pPr>
              <w:jc w:val="center"/>
              <w:ind w:right="428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w:t>
            </w:r>
          </w:p>
        </w:tc>
        <w:tc>
          <w:tcPr>
            <w:tcW w:w="70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Business.</w:t>
              </w:r>
            </w:hyperlink>
          </w:p>
        </w:tc>
        <w:tc>
          <w:tcPr>
            <w:tcW w:w="3400" w:type="dxa"/>
            <w:vAlign w:val="bottom"/>
            <w:gridSpan w:val="13"/>
          </w:tcPr>
          <w:p>
            <w:pPr>
              <w:spacing w:after="0"/>
              <w:rPr>
                <w:sz w:val="21"/>
                <w:szCs w:val="21"/>
                <w:color w:val="auto"/>
              </w:rPr>
            </w:pPr>
          </w:p>
        </w:tc>
        <w:tc>
          <w:tcPr>
            <w:tcW w:w="540" w:type="dxa"/>
            <w:vAlign w:val="bottom"/>
            <w:tcBorders>
              <w:top w:val="single" w:sz="8" w:color="0000EE"/>
            </w:tcBorders>
            <w:gridSpan w:val="3"/>
          </w:tcPr>
          <w:p>
            <w:pPr>
              <w:spacing w:after="0"/>
              <w:rPr>
                <w:sz w:val="21"/>
                <w:szCs w:val="21"/>
                <w:color w:val="auto"/>
              </w:rPr>
            </w:pPr>
          </w:p>
        </w:tc>
        <w:tc>
          <w:tcPr>
            <w:tcW w:w="4280" w:type="dxa"/>
            <w:vAlign w:val="bottom"/>
            <w:gridSpan w:val="8"/>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7960" w:type="dxa"/>
            <w:vAlign w:val="bottom"/>
            <w:gridSpan w:val="22"/>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1B.</w:t>
            </w:r>
          </w:p>
        </w:tc>
        <w:tc>
          <w:tcPr>
            <w:tcW w:w="2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Unresolved Staff Comments.</w:t>
              </w:r>
            </w:hyperlink>
          </w:p>
        </w:tc>
        <w:tc>
          <w:tcPr>
            <w:tcW w:w="6820" w:type="dxa"/>
            <w:vAlign w:val="bottom"/>
            <w:gridSpan w:val="17"/>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2.</w:t>
            </w:r>
          </w:p>
        </w:tc>
        <w:tc>
          <w:tcPr>
            <w:tcW w:w="7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Properties.</w:t>
              </w:r>
            </w:hyperlink>
          </w:p>
        </w:tc>
        <w:tc>
          <w:tcPr>
            <w:tcW w:w="8140" w:type="dxa"/>
            <w:vAlign w:val="bottom"/>
            <w:gridSpan w:val="23"/>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3.</w:t>
            </w:r>
          </w:p>
        </w:tc>
        <w:tc>
          <w:tcPr>
            <w:tcW w:w="892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Legal Proceedings.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3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4.</w:t>
            </w:r>
          </w:p>
        </w:tc>
        <w:tc>
          <w:tcPr>
            <w:tcW w:w="8920" w:type="dxa"/>
            <w:vAlign w:val="bottom"/>
            <w:gridSpan w:val="2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Mine Safety Disclosures.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520"/>
        </w:trPr>
        <w:tc>
          <w:tcPr>
            <w:tcW w:w="13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PART II</w:t>
              </w:r>
            </w:hyperlink>
          </w:p>
        </w:tc>
        <w:tc>
          <w:tcPr>
            <w:tcW w:w="42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5.</w:t>
            </w:r>
          </w:p>
        </w:tc>
        <w:tc>
          <w:tcPr>
            <w:tcW w:w="8920" w:type="dxa"/>
            <w:vAlign w:val="bottom"/>
            <w:gridSpan w:val="25"/>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Market for Registrant’s Common Equity, Related Stockholder Matters and Issuer Purchases of Equity Securities.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6.</w:t>
            </w:r>
          </w:p>
        </w:tc>
        <w:tc>
          <w:tcPr>
            <w:tcW w:w="1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9"/>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7.</w:t>
            </w:r>
          </w:p>
        </w:tc>
        <w:tc>
          <w:tcPr>
            <w:tcW w:w="8920" w:type="dxa"/>
            <w:vAlign w:val="bottom"/>
            <w:gridSpan w:val="2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7A.</w:t>
            </w:r>
          </w:p>
        </w:tc>
        <w:tc>
          <w:tcPr>
            <w:tcW w:w="6500" w:type="dxa"/>
            <w:vAlign w:val="bottom"/>
            <w:tcBorders>
              <w:top w:val="single" w:sz="8" w:color="0000EE"/>
            </w:tcBorders>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2420" w:type="dxa"/>
            <w:vAlign w:val="bottom"/>
            <w:gridSpan w:val="4"/>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8.</w:t>
            </w:r>
          </w:p>
        </w:tc>
        <w:tc>
          <w:tcPr>
            <w:tcW w:w="3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21"/>
                <w:szCs w:val="21"/>
                <w:color w:val="auto"/>
              </w:rPr>
            </w:pPr>
          </w:p>
        </w:tc>
        <w:tc>
          <w:tcPr>
            <w:tcW w:w="4520" w:type="dxa"/>
            <w:vAlign w:val="bottom"/>
            <w:gridSpan w:val="9"/>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w:t>
            </w:r>
          </w:p>
        </w:tc>
        <w:tc>
          <w:tcPr>
            <w:tcW w:w="8920" w:type="dxa"/>
            <w:vAlign w:val="bottom"/>
            <w:gridSpan w:val="2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9A.</w:t>
            </w: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6"/>
          </w:tcPr>
          <w:p>
            <w:pPr>
              <w:spacing w:after="0"/>
              <w:rPr>
                <w:sz w:val="21"/>
                <w:szCs w:val="21"/>
                <w:color w:val="auto"/>
              </w:rPr>
            </w:pPr>
          </w:p>
        </w:tc>
        <w:tc>
          <w:tcPr>
            <w:tcW w:w="2400" w:type="dxa"/>
            <w:vAlign w:val="bottom"/>
            <w:gridSpan w:val="3"/>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9B.</w:t>
            </w:r>
          </w:p>
        </w:tc>
        <w:tc>
          <w:tcPr>
            <w:tcW w:w="8920" w:type="dxa"/>
            <w:vAlign w:val="bottom"/>
            <w:gridSpan w:val="2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520"/>
        </w:trPr>
        <w:tc>
          <w:tcPr>
            <w:tcW w:w="13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80" w:type="dxa"/>
            <w:vAlign w:val="bottom"/>
            <w:gridSpan w:val="13"/>
          </w:tcPr>
          <w:p>
            <w:pPr>
              <w:jc w:val="center"/>
              <w:ind w:right="4220"/>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PART III</w:t>
              </w:r>
            </w:hyperlink>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10.</w:t>
            </w:r>
          </w:p>
        </w:tc>
        <w:tc>
          <w:tcPr>
            <w:tcW w:w="892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8"/>
          </w:tcPr>
          <w:p>
            <w:pPr>
              <w:spacing w:after="0"/>
              <w:rPr>
                <w:sz w:val="21"/>
                <w:szCs w:val="21"/>
                <w:color w:val="auto"/>
              </w:rPr>
            </w:pPr>
          </w:p>
        </w:tc>
        <w:tc>
          <w:tcPr>
            <w:tcW w:w="4780" w:type="dxa"/>
            <w:vAlign w:val="bottom"/>
            <w:gridSpan w:val="10"/>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12.</w:t>
            </w:r>
          </w:p>
        </w:tc>
        <w:tc>
          <w:tcPr>
            <w:tcW w:w="892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40" w:type="dxa"/>
            <w:vAlign w:val="bottom"/>
            <w:tcBorders>
              <w:top w:val="single" w:sz="8" w:color="0000EE"/>
            </w:tcBorders>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14.</w:t>
            </w:r>
          </w:p>
        </w:tc>
        <w:tc>
          <w:tcPr>
            <w:tcW w:w="5500" w:type="dxa"/>
            <w:vAlign w:val="bottom"/>
            <w:tcBorders>
              <w:top w:val="single" w:sz="8" w:color="0000EE"/>
            </w:tcBorders>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Principal Accounting Fees and Services.</w:t>
              </w:r>
            </w:hyperlink>
          </w:p>
        </w:tc>
        <w:tc>
          <w:tcPr>
            <w:tcW w:w="3420" w:type="dxa"/>
            <w:vAlign w:val="bottom"/>
            <w:gridSpan w:val="5"/>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520"/>
        </w:trPr>
        <w:tc>
          <w:tcPr>
            <w:tcW w:w="13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80" w:type="dxa"/>
            <w:vAlign w:val="bottom"/>
            <w:gridSpan w:val="13"/>
          </w:tcPr>
          <w:p>
            <w:pPr>
              <w:jc w:val="center"/>
              <w:ind w:right="4220"/>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PART IV</w:t>
              </w:r>
            </w:hyperlink>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15.</w:t>
            </w:r>
          </w:p>
        </w:tc>
        <w:tc>
          <w:tcPr>
            <w:tcW w:w="4040" w:type="dxa"/>
            <w:vAlign w:val="bottom"/>
            <w:gridSpan w:val="1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7"/>
          </w:tcPr>
          <w:p>
            <w:pPr>
              <w:spacing w:after="0"/>
              <w:rPr>
                <w:sz w:val="21"/>
                <w:szCs w:val="21"/>
                <w:color w:val="auto"/>
              </w:rPr>
            </w:pPr>
          </w:p>
        </w:tc>
        <w:tc>
          <w:tcPr>
            <w:tcW w:w="4220" w:type="dxa"/>
            <w:vAlign w:val="bottom"/>
            <w:gridSpan w:val="6"/>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INDEX</w:t>
        </w:r>
      </w:hyperlink>
    </w:p>
    <w:p>
      <w:pPr>
        <w:spacing w:after="0" w:line="333" w:lineRule="exact"/>
        <w:rPr>
          <w:sz w:val="20"/>
          <w:szCs w:val="20"/>
          <w:color w:val="auto"/>
        </w:rPr>
      </w:pPr>
    </w:p>
    <w:p>
      <w:pPr>
        <w:jc w:val="center"/>
        <w:ind w:right="2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herein,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under the sections entitled “Risk Factors” and “Management’s Discussion and Analysis of Financial Condition and Results of Operations” and elsewhere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Annual Report on Form 10-K, whether as a result of any new information, future events, changed circumstances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Channels to Disseminate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announces material information to the public about the Company, its products and services and other matters through a variety of means,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 filings with the Securities and Exchange Commission, press releases, public conference calls, the Company’s 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https://neurostar.com/neuronetics/</w:t>
      </w:r>
      <w:r>
        <w:rPr>
          <w:rFonts w:ascii="Arial" w:cs="Arial" w:eastAsia="Arial" w:hAnsi="Arial"/>
          <w:sz w:val="18"/>
          <w:szCs w:val="18"/>
          <w:color w:val="auto"/>
        </w:rPr>
        <w:t>), including the Investors section thereof, and/or social media, including its Facebook page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https://www.facebook.com/NeuroStarAdvancedTMS/</w:t>
      </w:r>
      <w:r>
        <w:rPr>
          <w:rFonts w:ascii="Arial" w:cs="Arial" w:eastAsia="Arial" w:hAnsi="Arial"/>
          <w:sz w:val="17"/>
          <w:szCs w:val="17"/>
          <w:color w:val="auto"/>
        </w:rPr>
        <w:t>), Twitter account (@TMSTherapy), Instagram account (@NeurostarAdvancedTMS), YouTube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 (</w:t>
      </w:r>
      <w:r>
        <w:rPr>
          <w:rFonts w:ascii="Arial" w:cs="Arial" w:eastAsia="Arial" w:hAnsi="Arial"/>
          <w:sz w:val="17"/>
          <w:szCs w:val="17"/>
          <w:u w:val="single" w:color="auto"/>
          <w:color w:val="auto"/>
        </w:rPr>
        <w:t>https://www.youtube.com/channel/UCmCPFlXKw1dXP--_fygpmJw</w:t>
      </w:r>
      <w:r>
        <w:rPr>
          <w:rFonts w:ascii="Arial" w:cs="Arial" w:eastAsia="Arial" w:hAnsi="Arial"/>
          <w:sz w:val="17"/>
          <w:szCs w:val="17"/>
          <w:color w:val="auto"/>
        </w:rPr>
        <w:t>) and/or LinkedIn account (</w:t>
      </w:r>
      <w:r>
        <w:rPr>
          <w:rFonts w:ascii="Arial" w:cs="Arial" w:eastAsia="Arial" w:hAnsi="Arial"/>
          <w:sz w:val="17"/>
          <w:szCs w:val="17"/>
          <w:u w:val="single" w:color="auto"/>
          <w:color w:val="auto"/>
        </w:rPr>
        <w:t>https://www.linkedin.com/company/neuronetics-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w:t>
      </w:r>
      <w:r>
        <w:rPr>
          <w:rFonts w:ascii="Arial" w:cs="Arial" w:eastAsia="Arial" w:hAnsi="Arial"/>
          <w:sz w:val="17"/>
          <w:szCs w:val="17"/>
          <w:color w:val="auto"/>
        </w:rPr>
        <w:t>), in order to achieve broad, non-exclusionary distribution of information to the public. The Company encourages investors and others to review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it makes public in these locations, as such information could be deemed to be material information. Please note that this list may be updated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907 active NeuroStar Advanced Therapy Systems in approximately 707 psychiatrist offices as of December 31, 2018 and the estimated 62,900 patients treated with approximately 2.3 million treatment sessions through such date. We generated revenues of $52.8 million for the year ended December 31, 2018.</w:t>
      </w:r>
    </w:p>
    <w:p>
      <w:pPr>
        <w:spacing w:after="0" w:line="16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MDD is a mood disorder characterized by the presence of one or both of two major diagnostic criteria: a depressed mood or loss of interest in pleasure that continues for at least two weeks. The presence of at least one of these diagnostic symptoms must be accompanied by several of the following additional symptoms: sleep disturbance, changes in appetite, sexual dysfunction, anxiety, fatigue, difficulty concentrating and suicidal thinking. MDD is a recurrent disease and follows a fluctuating course over an individual’s lifetime, with periods of remission and relapse.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World Health Organization, or WHO, ranks MDD as the single largest contributor to global disability and a major contributor to suicide worldwide. According to a study published in the </w:t>
      </w:r>
      <w:r>
        <w:rPr>
          <w:rFonts w:ascii="Arial" w:cs="Arial" w:eastAsia="Arial" w:hAnsi="Arial"/>
          <w:sz w:val="16"/>
          <w:szCs w:val="16"/>
          <w:i w:val="1"/>
          <w:iCs w:val="1"/>
          <w:color w:val="auto"/>
        </w:rPr>
        <w:t>Journal of Clinical Psychiatry</w:t>
      </w:r>
      <w:r>
        <w:rPr>
          <w:rFonts w:ascii="Arial" w:cs="Arial" w:eastAsia="Arial" w:hAnsi="Arial"/>
          <w:sz w:val="16"/>
          <w:szCs w:val="16"/>
          <w:color w:val="auto"/>
        </w:rPr>
        <w:t xml:space="preserve">, the economic burden of the disease was estimated to be $210 billion in 2010 in the United States, including outpatient and inpatient medical costs, pharmacy costs, suicide related costs and workplace costs. A study published in </w:t>
      </w:r>
      <w:r>
        <w:rPr>
          <w:rFonts w:ascii="Arial" w:cs="Arial" w:eastAsia="Arial" w:hAnsi="Arial"/>
          <w:sz w:val="16"/>
          <w:szCs w:val="16"/>
          <w:i w:val="1"/>
          <w:iCs w:val="1"/>
          <w:color w:val="auto"/>
        </w:rPr>
        <w:t>Psychological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reported a global incidence rate of MDD is 3.0% and the WHO estimates that there are over 300 million people in the world living with depression.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Based on U.S. Census Bureau data and a study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we estimate that approximately 21 million people in the United States suffer from MDD annually. Of these people, we estimate approximately 13.3 million are adults aged 22 to 70 years, of whom an estimated 7.6 million, based on data from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are being treated by a psychiatrist. We estimate, based on data from the Sequenced Treatment Alternatives to Relieve Depression, or the STAR*D study, that approximately 5.5 million of these patients have failed to achieve remission of their MDD from their prior antidepressant medication therapy and that approximately 3.8 million of those patients have commercial insurance or Medicare coverage for NeuroStar Advanced Therapy. As a result, based on our expected revenues for a standard course of treatment, we believe our total annual addressable market opportunity for treatment sessions in the United States is approximately $9.6 billion.</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Initial treatment options for MDD often consist of antidepressant medication prescribed by a primary care physician. Although a variety of antidepressant medications are available, drug therapy has two primary limitations: limited effectiveness and treatment-emergent side effects. These limitations were demonstrated in the STAR*D study, a large clinical trial funded by the U.S. National Institute of Mental Health, or NIMH, that enrolled more than 4,000 adult MDD patients at 41 clinical sites to examine the outcomes to a sequenced series of antidepressant medication attempts that mimicked best practices. In the study, approximately 28% and 21% of patients achieved remission in their first and second medication attempts, respectively. Many patients taking antidepressant medications experience intolerable or troubling side effects that contribute to a delay or failure in attaining an effective or optimal antidepressant dose, poor patient treatment adherence or discontinuation of treatment therapy. The likelihood of achieving remission is limited and declines with each successive medication attempt.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right="20"/>
        <w:spacing w:after="0" w:line="271" w:lineRule="auto"/>
        <w:rPr>
          <w:sz w:val="20"/>
          <w:szCs w:val="20"/>
          <w:color w:val="auto"/>
        </w:rPr>
      </w:pPr>
      <w:r>
        <w:rPr>
          <w:rFonts w:ascii="Arial" w:cs="Arial" w:eastAsia="Arial" w:hAnsi="Arial"/>
          <w:sz w:val="17"/>
          <w:szCs w:val="17"/>
          <w:color w:val="auto"/>
        </w:rPr>
        <w:t>TMS is considered to be an appropriate therapy for the treatment of MDD patients who have failed to achieve satisfactory improvement from prior antidepressant medication. TMS is typically performed as an office-based procedure using a capital equipment system designed to deliver the magnetic pulses necessary to stimulate the specific areas of the brain associated with mood. A course of treatment typically requires treatment sessions five times a week for up to six weeks that can last from as low as three to as long as 45 minutes per session. The effectiveness of TMS depends on the psychiatrist’s ability to deliver a precise amount of magnetic pulses to a specific area of the brain in a manner that can be consistently repeated during each treatment session. While TMS has been demonstrated to be a safe and effective treatment alternative for patients suffering from MDD, we believe that competing TMS systems have experienced limited adoption because of their lack of the following: the ability to reproduce consistent treatments, significant clinical data from randomized outcome trials, practice development resources and a cloud-based practice management system.</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designed the NeuroStar Advanced Therapy as a non-invasive therapeutic alternative to treat patients who suffer from MDD and to address many of the key limitations of existing treatment options. We believe our NeuroStar Advanced Therapy provides our psychiatrist customers and their patients with several benefits, including clinically demonstrated response and remission with durable results, a demonstrated safety profile with limited treatment-emergent side effects and high patient adherence. Additionally, NeuroStar Advanced Therapy was designed to provide a precise and reproducible office-based therapy that is also efficient and convenient. Our therapy is delivered without general anesthesia or sedation, enabling the patient to drive and resume normal activities immediately following each treatment session. We couple our product’s clinical benefits with significant practice development resources, on-site clinical training and reimbursement and service support to help our psychiatrist customers develop a successful NeuroStar Advanced Therapy practice. We also provide cloud-based practice management solutions that enhance convenience for both psychiatrists and patients. Based on our commercial data, we believe psychiatrists can recoup their initial capital investment in our system by providing a standard course of treatment to approximately 12 patients, assuming these patients receive reimbursement from Medicare or commercial insurance at rates that are similar to what our customers have observed for existing and prior patients. We believe psychiatrists can generate approximately $7,500 to $10,000 of revenue per patient for a standard course of treatment, which may provide meaningful incremental income to their practices.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safety, effectiveness and durability of NeuroStar Advanced Therapy is supported by a large clinical data set published in 23 articles in peer-reviewed medical journals, including from 11 clinical studies that have collectively enrolled more than 900 adult patients suffering from MDD. In a 307 patient, naturalistic, prospective, observational trial conducted at 42 U.S. clinical sites in patients who had tried and failed to receive relief from one or more medication trials in their current MDD episode, following an acute course of NeuroStar Advanced Therapy, 58% of patients responded, which means they achieved a clinically meaningful reduction in symptoms, and 37% achieved remission. Response and remission were maintained over a 12-month period for a majority of these patients. In the STAR*D study approximately 28% and 21% of patients achieved remission in their first and second medication trials, respectively.</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growth strategy includes expanding our commercialization efforts in the United States, expanding international opportunities and pursuing pipeline development of our therapy for additional indications. Outside the United States, our products have received marketing authorizations in the European Union and Japan. Our initial international commercial focus is Japan, which has the third largest healthcare spend globally. We have entered into an exclusive distribution agreement with Teijin Pharma Limited, or Teijin, a leading Japanese healthcare company, to further expand our commercialization efforts in this market. We are also evaluating the use of enhancements to our NeuroStar Advanced Therapy System to treat additional indications, which may include bipolar depression and post-traumatic stress disorder.</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2018, we had an installed base of 907 active NeuroStar Advanced Therapy Systems in the United States. We currently sell our NeuroStar Advanced Therapy System and recurring treatment sessions in the United States through our sales and customer support team, which was comprised of 133 people as of December 31, 2018.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Patients are reimbursed by Medicare and the vast majority of commercial payors in the United States for treatment sessions utilizing our NeuroStar Advanced Therapy System.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40"/>
        <w:spacing w:after="0" w:line="273" w:lineRule="auto"/>
        <w:rPr>
          <w:sz w:val="20"/>
          <w:szCs w:val="20"/>
          <w:color w:val="auto"/>
        </w:rPr>
      </w:pPr>
      <w:r>
        <w:rPr>
          <w:rFonts w:ascii="Arial" w:cs="Arial" w:eastAsia="Arial" w:hAnsi="Arial"/>
          <w:sz w:val="17"/>
          <w:szCs w:val="17"/>
          <w:color w:val="auto"/>
        </w:rPr>
        <w:t>We generate revenues from initial capital sales of our systems, sales of our recurring treatment sessions and from service and repair and extended warranty contracts. We derive the majority of our revenues from recurring treatment sessions. For the year ended December 31, 2018, we generated revenues of $52.8 million and had a net loss of $24.1 million. Our revenues increased 31% during the year ended December 31, 2018 compared to the year ended December 31, 2017. For the year ended December 31, 2018, our U.S. revenues were $51.5 million, compared to $39.9 million for the year ended December 31, 2017, which represented an increase of 29% compared to the prior period. Revenues from treatment sessions represented 69% of our U.S. revenues for the year ended December 31, 2018 compared to 71% of our U.S. revenues for the prior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and Major Depressive Disorder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WHO estimates that there are over 300 million people in the world living with depression and ranks MDD as the single largest contributor to global disability and a major contributor to suicide worldwide. In the United States, the economic burden of the disease was estimated by the </w:t>
      </w:r>
      <w:r>
        <w:rPr>
          <w:rFonts w:ascii="Arial" w:cs="Arial" w:eastAsia="Arial" w:hAnsi="Arial"/>
          <w:sz w:val="16"/>
          <w:szCs w:val="16"/>
          <w:i w:val="1"/>
          <w:iCs w:val="1"/>
          <w:color w:val="auto"/>
        </w:rPr>
        <w:t>Journal of Clinical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Psychiatry </w:t>
      </w:r>
      <w:r>
        <w:rPr>
          <w:rFonts w:ascii="Arial" w:cs="Arial" w:eastAsia="Arial" w:hAnsi="Arial"/>
          <w:sz w:val="16"/>
          <w:szCs w:val="16"/>
          <w:color w:val="auto"/>
        </w:rPr>
        <w:t>to be $210 billion in 2010, including outpatient and inpatient medical costs, pharmacy costs, suicide related costs and workplace costs. There were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333 million antidepressant medication prescriptions written in the United States in 2017, representing pharmaceutical sales totaling</w:t>
      </w:r>
    </w:p>
    <w:p>
      <w:pPr>
        <w:spacing w:after="0" w:line="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$5.0 billion, according to IMS Health. Based on U.S. Census Bureau data and a study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we estimate that approximately 21 million people in the United States suffer from MDD annually. Of these people, we estimate approximately 13.3 million are adults aged 22 to 70 years, of whom an estimated 7.6 million, based on data from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are being treated by a psychiatrist. We estimate, based on data from the STAR*D study, that approximately 5.5 million of these patients have failed to achieve remission of their MDD from their prior antidepressant medication therapy and that approximately 3.8 million of those patients have commercial insurance or Medicare coverage for the NeuroStar Advanced Therapy. As a result, based on our expected revenues for a standard course of treatment, we believe our total annual addressable market opportunity for treatment sessions in the United States is approximately $9.6 billion.</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Japan, the country with the third highest aggregate healthcare expenditures worldwide according to Deloitte, we estimate, based on data from the National Center for Biotechnology and Information, that approximately 2.4 million adults suffer from MDD and approximately 655,000 of these adults are being treated for their MDD by a psychiatrist. We estimate, based on data from the STAR*D study, that approximately 475,000 of these patients, all of whom are covered by Japan’s single payor healthcare system, have failed to achieve remission of their MDD from prior antidepressant medication therapy and are candidates for treatment with NeuroStar Advanced Therapy. As a result, we believe our total addressable market opportunity for treatment sessions in Japan is over $1.0 billion, assuming psychiatrist reimbursement levels per treatment course per patient are similar to those in the United States.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MDD is a mood disorder characterized by the presence of one or both of two major diagnostic criteria that continues for at least two weeks: a depressed mood or loss of interest in pleasure. The presence of at least one of these diagnostic symptoms must be accompanied by several of the following additional symptoms, for a total of five or more symptoms: sleep disturbance, changes in appetite, sexual dysfunction, anxiety, fatigue, difficulty concentrating and suicidal thinking. In order to be diagnosed with MDD, a patient must display symptoms that are present most of the day, nearly every day, for at least two weeks. A diagnosis of MDD is established by clinical interview and an assessment of whether a patient reports a collection of symptoms defined in the American Psychiatric Association’s </w:t>
      </w:r>
      <w:r>
        <w:rPr>
          <w:rFonts w:ascii="Arial" w:cs="Arial" w:eastAsia="Arial" w:hAnsi="Arial"/>
          <w:sz w:val="17"/>
          <w:szCs w:val="17"/>
          <w:i w:val="1"/>
          <w:iCs w:val="1"/>
          <w:color w:val="auto"/>
        </w:rPr>
        <w:t>Diagnostic and Statistical Manual of Mental Disorders, fifth edition</w:t>
      </w:r>
      <w:r>
        <w:rPr>
          <w:rFonts w:ascii="Arial" w:cs="Arial" w:eastAsia="Arial" w:hAnsi="Arial"/>
          <w:sz w:val="17"/>
          <w:szCs w:val="17"/>
          <w:color w:val="auto"/>
        </w:rPr>
        <w:t>, or DSM-5. The severity of a patient’s symptoms is typically measured by a standardized rating scale from a self-reported questionnaire, such as the Patient Health Questionnaire-9, or PHQ-9, or from an observer-dependent interview, such as the Hamilton Depression Rating Scale, or HAMD. Based in part on these rating scale measures, MDD can be graded on a continuum from mild to severe. The symptoms of the disease may result in role impairment, which refers to a loss of functioning or enjoyment in work, or impairment of household relationships and/or social roles. MDD is often accompanied by, or comorbid with, other mental disorders, with an estimated three-fourths of patients with recurrent MDD suffering from another psychiatric illness or substance abuse disorder. MDD patients also have an increased risk of death from suicide and other more typical causes, such as heart disease.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color w:val="auto"/>
        </w:rPr>
        <w:t>MDD is a recurrent disease and follows a fluctuating course over an individual’s lifetime, with periods of remission and relapse. If an initial episode of MDD is resolved, the return of depressive symptoms during the first nine months thereafter is referred to as a relapse of the illness and is generally considered to be part of the same depressive episode. When depressive symptoms return more than 12 months after the initial episode of MDD is resolved, it is considered to be a recurrence of the illness and is deemed a new and distinct episode. A response to treatment is commonly measured as a clinically significant decrease in symptoms on a standardized rating scale from baseline scores. When a patient shows no or nearly no symptoms, the patient is referred to as being in remission. An average episode of MDD lasts approximately four to eight months and approximately three-fourths of all patients who experience an episode of MDD will experience recovery within a year. However, experiencing one episode of MDD places an individual at an estimated 50% risk of experiencing an additional episode of MDD. Approximately 80% of those individuals who have experienced two episodes of MDD will experience an additional episode.</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Neuroscience of MDD</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exact causes of MDD are not known but, as with many psychiatric disorders, a variety of factors may be involved, including the physical and chemical characteristics of the brain, hormonal changes, genetics, acute life events, chronic stress, childhood exposure to adversity and other environmental factors. Researchers have identified a network in the brain that affects a person’s mood, which can play a significant role in MDD and includes the prefrontal cortex, the anterior cingulate cortex and the limbic brain structures. The basic unit of organization in this network of the brain is the neuron, a specialized cell that responds to both chemical and electrical signals. The release of chemical messengers, or neurotransmitters, in the brain occurs across synapses, or the space between neurons. This release of neurotransmitters results in changes in the electrical properties of the receiving neuron, which in turn triggers a cascade of neuron-to-neuron electro-chemical reactions along a pathway of the brain referred to as a neuronal circuit.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depicts the chemical reactions across the neuronal network: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Neurotransmission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146050</wp:posOffset>
            </wp:positionV>
            <wp:extent cx="2761615"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161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communication process across different regions of the brain is ordinarily self-regulated by feedback mechanisms that instruct the originating neuron to stop releasing the neurotransmitter and start reabsorbing it into the cell, a process called reabsorption or reuptake.</w:t>
      </w:r>
    </w:p>
    <w:p>
      <w:pPr>
        <w:spacing w:after="0" w:line="17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people with MDD, however, this complex system of neuronal communication does not function properly. Receptors may be either oversensitive or insensitive to a specific neurotransmitter, causing their response to its release to be excessive or inadequate. The signal might also be weakened if the originating cell produces too little of a neurotransmitter or if an overly efficient reuptake process reabsorbs too much of the neurotransmitter before the molecules have the chance to bind to the receptors on other neurons.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t>One of the most important discoveries in neuroscience has been the recognition that improper regulation of one or more of the three major neurotransmitters, serotonin, norepinephrine and dopamine, plays a key role in a patient’s depression. This understanding has guided psychiatric drug development and the treatment of depression for more than three decades by placing a major focus on targeting chemically-based mechanisms. The relatively recent introduction of TMS as a targeted, circuit-based treatment option has reintroduced the importance of electrical mechanisms in restoring proper function to neuronal pathways to treat depression.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 Landscape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First Line Therapy</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United States, an initial diagnosis of adult MDD is typically made by the patient’s primary care physician. Upon diagnosis, the most common form of treatment is antidepressant medication, which may or may not be accompanied by psychotherapy. The physician typically discusses a number of different treatment options and then designs a treatment plan tailored to the patient’s specific symptoms, personal preferences and the psychiatric services that are available near the patient’s home.</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most commonly prescribed antidepressant medications are selective serotonin reuptake inhibitors, or SSRIs. SSRIs primarily affect the levels and activity of serotonin in the brain and attempt to address depression by blocking the reuptake of this neurotransmitter, thereby making more serotonin available. During the initial treatment course, a patient may experience uncomfortable side effects and it is common for a patient and the primary care physician to spend time testing different medications within the same and different chemical classes before arriving at a medication regimen that provides symptom relief and is tolerable. Different classes of antidepressant medications may also work on different combinations of underlying neurotransmitters. For example, serotonin norepinephrine reuptake inhibitors, or SNRIs, work by blocking the reuptake of both serotonin and norepinephrine. Other medications may have more diverse effects on all three major neurotransmitters.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Depression-focused psychotherapies are a commonly recommended treatment option for MDD and are generally used in conjunction with an antidepressant medication. The two most well studied and commonly available psychotherapy techniques include cognitive behavioral therapy and interpersonal psychotherapy. These are interactive therapies between a trained professional and a patient.</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Second Line Therapy</w:t>
      </w:r>
    </w:p>
    <w:p>
      <w:pPr>
        <w:spacing w:after="0" w:line="117"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If initial treatment approaches do not adequately relieve a patient’s symptoms, a primary care physician will often make a referral for consultation with a psychiatrist trained in psychopharmacology. There are a wide array of options that a psychiatrist may consider as second line therapies after an initial treatment has failed. For example, a psychiatrist may recommend either combining two or more antidepressant medications, which is referred to as combination therapy, or using a second medication such as an atypical antipsychotic that is not an antidepressant along with the initial antidepressant medication to augment the efficacy of such antidepressant, which is referred to as augmentation.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Another second line therapy is TMS, which is considered to be an appropriate alternative for the treatment of a patient with MDD who has failed to achieve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satisfactory improvement from prior antidepressant medication in the current MDD episode. TMS differs from drug therapy approaches by using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pulsed, MRI-strength magnetic field to induce electrical currents designed to stimulate specific areas of the brain associated with mood. The target for brain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stimulation is the prefrontal cortex, which serves as a starting point to regulate the neuronal circuitry connected to this region of the brain. This stimulation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triggers a cascading electro-chemical effect that can pass along the neuronal circuit and reach into the deeper structures of the brain that also regulate mood.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action changes the connections among these structures in a manner that improves the activity of the neuronal circuit and results in an improvement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mood. TMS is typically performed as an office-based procedure using a piece of capital equipment designed to deliver the magnetic pulses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stimulate the neurons. A course of treatment typically requires treatment sessions five times a week for up to six weeks that can last from 19 to as long as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minutes per session. The effectiveness of TMS therapy depends on the psychiatrist’s ability to deliver a precise amount of magnetic pulses to a specific area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brain in a manner that can be consistently repeated during each treatment session.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left="600"/>
        <w:spacing w:after="0"/>
        <w:rPr>
          <w:sz w:val="20"/>
          <w:szCs w:val="20"/>
          <w:color w:val="auto"/>
        </w:rPr>
      </w:pPr>
      <w:r>
        <w:rPr>
          <w:rFonts w:ascii="Arial" w:cs="Arial" w:eastAsia="Arial" w:hAnsi="Arial"/>
          <w:sz w:val="18"/>
          <w:szCs w:val="18"/>
          <w:i w:val="1"/>
          <w:iCs w:val="1"/>
          <w:color w:val="auto"/>
        </w:rPr>
        <w:t>Later Stage Treatment Options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More aggressive options, which are associated with greater medical risk, are sometimes considered for patients that require later stages of treatment and include electroconvulsive therapy, or ECT, and vagus nerve stimulation, or VNS. ECT is a hospital-based treatment approach that is usually reserved for the most critical MDD patients and is considered most frequently in instances where the patient is experiencing catatonia, acute suicidal behaviors requiring inpatient hospitalization or psychotic symptoms. ECT involves the direct application of high voltage electrical current to the surface of the head and must be administered under anesthesia in a controlled hospital setting. VNS is considered the most invasive treatment option currently approved by the FDA for MDD patients who have proven to be severely treatment resistant. VNS involves the surgical implantation of an electrode wrapped around the vagus nerve, which travels through the neck near the carotid artery, and utilizes a pulse generator that is separately implanted under the skin near the patient’s collarbone. The pulse generator sends electrical impulses to the electrode throughout the day with the goal of modifying the regions of the brain known to be involved in the regulation of mood.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general overview of the treatment sequence for a patient with MDD is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143510</wp:posOffset>
            </wp:positionV>
            <wp:extent cx="4973955" cy="2933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395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Therapies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Antidepressant medication therapy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a variety of antidepressant medications are available for the treatment of MDD, antidepressant therapy has two primary limitations: limited efficacy and treatment-emergent side effects that interfere with patient adherence to the prescribed treatment regimen. These limitations were demonstrated in the STAR*D study. This study was sponsored by the NIMH and enrolled more than 4,000 adult patients at 41 clinical sites, including outpatients with nonpsychotic MDD. The trial examined the outcomes to a sequenced series of antidepressant medication treatment options that mimicked best practices. Patients whose depression did not remit after the initial treatment trial of using a single-medication SSRI treatment were able to participate in a sequence of up to three treatment trials. The progression that followed included switching to a different class and more complex combination and augmentation treatments for patients who were unable to achieve remission with each of the trials. Brain stimulation techniques, including ECT and VNS, were not examined in this study.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ind w:left="1200" w:right="200" w:hanging="449"/>
        <w:spacing w:after="0" w:line="276"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Limited Efficacy</w:t>
      </w:r>
      <w:r>
        <w:rPr>
          <w:rFonts w:ascii="Arial" w:cs="Arial" w:eastAsia="Arial" w:hAnsi="Arial"/>
          <w:sz w:val="17"/>
          <w:szCs w:val="17"/>
          <w:color w:val="auto"/>
        </w:rPr>
        <w:t>. In the STAR*D study, approximately 28% and 21% of patients achieved remission in their first and second medication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attempts, respectively. The likelihood of achieving remission from a medication regimen was limited and declined with each successive augmentation attempt. For patients that had three prior treatment attempts, only approximately 7% achieved remission in response to the fourth monotherapy treatment option used in that study. The following figure depicts the percentage of patients who achieved remission at each stage of monotherapy treatment in the STAR*D study based on analysis of HAMD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109855</wp:posOffset>
            </wp:positionV>
            <wp:extent cx="3439160" cy="1809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91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0" w:hanging="449"/>
        <w:spacing w:after="0" w:line="253"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Treatment-Emergent Side Effects</w:t>
      </w:r>
      <w:r>
        <w:rPr>
          <w:rFonts w:ascii="Arial" w:cs="Arial" w:eastAsia="Arial" w:hAnsi="Arial"/>
          <w:sz w:val="18"/>
          <w:szCs w:val="18"/>
          <w:color w:val="auto"/>
        </w:rPr>
        <w:t>. The STAR*D study showed that the likelihood of discontinuing treatment due to treatment-emergent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side effects increased with each incremental course of medication. According to the study and as shown in the figure below, approximately 41% of patients who progressed to the fourth monotherapy treatment attempt subsequently discontinued drug treatment. Many patients taking antidepressant medications experience intolerable or troubling side effects that contribute to a delay or failure in attaining an effective or optimal antidepressant dose and often result in poor patient treatment adherence or discontinuation of therapy. These side effects include sexual dysfunction, drowsiness, fatigue, weight gain and nausea. The severity of side effects generally increase as a patient proceeds from initial drug treatment to combination or augmented drug treatments. Later stage treatment options, such as first-generation antidepressants and antipsychotics, have potentially more serious side effects and intolerability, with the risk of potential fatal overdose. The discontinuation of treatment can also result in severe side effects, including dizziness, nausea, lethargy, headache, anxiety and agitation that can last for extended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124460</wp:posOffset>
            </wp:positionV>
            <wp:extent cx="3439160" cy="180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91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Since the publication of the STAR*D study results, additional drug therapies have been introduced, including most prominently atypical antipsychotics, which are used as augmentation agents for patients with partial or non-response to initial antidepressant medications given alone. Unfortunately, these augmentation treatments have not significantly improved overall MDD patient response rates and have also introduced additional side effects.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left="600"/>
        <w:spacing w:after="0"/>
        <w:rPr>
          <w:sz w:val="20"/>
          <w:szCs w:val="20"/>
          <w:color w:val="auto"/>
        </w:rPr>
      </w:pPr>
      <w:r>
        <w:rPr>
          <w:rFonts w:ascii="Arial" w:cs="Arial" w:eastAsia="Arial" w:hAnsi="Arial"/>
          <w:sz w:val="18"/>
          <w:szCs w:val="18"/>
          <w:i w:val="1"/>
          <w:iCs w:val="1"/>
          <w:color w:val="auto"/>
        </w:rPr>
        <w:t>Depression-Focused Psychotherapies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Antidepressant medication therapy for MDD is often administered along with a recommendation for a depression-focused psychotherapy. While these treatment options have demonstrated efficacy in some clinical studies, they also are associated with limitations in practice. For instance, the experience level of the therapist may significantly affect the treatment outcome. Additionally, in order to access these treatments, patients usually require a referral to a psychotherapist who may be located at a different clinical site than their treating psychiatrist. Psychotherapy requires a commitment by a patient to numerous treatment sessions in order to potentially achieve significant improvement, with a typical treatment regimen consisting of 16 sessions.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Later Stage Treatment Options</w:t>
      </w:r>
    </w:p>
    <w:p>
      <w:pPr>
        <w:spacing w:after="0" w:line="117"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Both ECT and VNS have significant drawbacks. ECT requires general anesthesia and is administered in a controlled hospital setting with access to emergency resuscitation equipment. ECT is typically administered three times per week for up to 12 treatments, with some patients requiring as many as</w:t>
      </w:r>
    </w:p>
    <w:p>
      <w:pPr>
        <w:spacing w:after="0" w:line="268" w:lineRule="auto"/>
        <w:rPr>
          <w:sz w:val="20"/>
          <w:szCs w:val="20"/>
          <w:color w:val="auto"/>
        </w:rPr>
      </w:pPr>
      <w:r>
        <w:rPr>
          <w:rFonts w:ascii="Arial" w:cs="Arial" w:eastAsia="Arial" w:hAnsi="Arial"/>
          <w:sz w:val="17"/>
          <w:szCs w:val="17"/>
          <w:color w:val="auto"/>
        </w:rPr>
        <w:t>20 treatments. ECT patients may experience confusion and memory loss, the two most common side effects of ECT treatments, immediately following a treatment session. Other side effects may include nausea, headache, jaw pain, muscle ache, hypertension and hypotension and life threatening complications including adverse reactions to anesthesia, arrhythmias, ischemia or prolonged seizures. Because of the potentially disabling side effects of ECT, the patient is typically unable to work for the duration of the course of treatment. VNS is considered the most invasive treatment option currently approved by the FDA for MDD patients who have proven to be severely treatment resistant. VNS includes surgical related risks, such as infection or local damage to the recurrent laryngeal nerve, which may lead to permanent voice alteration. Other drawbacks of VNS include the development of cardiac arrhythmias and the periodic repeat surgeries required to replace the pulse generator battery. Finally, reimbursement for the implantation and ongoing monitoring of the VNS device remains problematic, limiting access to the procedure for most patients.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Transcranial Magnetic Stimulation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While TMS has been demonstrated to be a safe and effective treatment alternative for patients suffering from MDD, we believe that most TMS systems have experienced limited adoption for several reasons, including:</w:t>
      </w:r>
    </w:p>
    <w:p>
      <w:pPr>
        <w:spacing w:after="0" w:line="62" w:lineRule="exact"/>
        <w:rPr>
          <w:sz w:val="20"/>
          <w:szCs w:val="20"/>
          <w:color w:val="auto"/>
        </w:rPr>
      </w:pPr>
    </w:p>
    <w:p>
      <w:pPr>
        <w:ind w:left="1200" w:right="60" w:hanging="449"/>
        <w:spacing w:after="0" w:line="255"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Challenges in delivering precise and reproducible treatments</w:t>
      </w:r>
      <w:r>
        <w:rPr>
          <w:rFonts w:ascii="Arial" w:cs="Arial" w:eastAsia="Arial" w:hAnsi="Arial"/>
          <w:sz w:val="18"/>
          <w:szCs w:val="18"/>
          <w:color w:val="auto"/>
        </w:rPr>
        <w:t>. We believe the design and technology of most TMS systems makes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for psychiatrists to reliably administer precise and reproducible treatments during each treatment session. Notably, most TMS systems do not provide the psychiatrist with the ability to stabilize the patient’s head during treatment. If a slight separation of the TMS treatment coil from the patient’s head occurs, it may reduce the magnetic field in the patient’s brain, resulting in the delivery of a lower dose than what was prescribed. Most TMS systems are unable to track the number of pulses not delivered as a result of this separation and therefore may not administer the prescribed dose.</w:t>
      </w:r>
    </w:p>
    <w:p>
      <w:pPr>
        <w:spacing w:after="0" w:line="85" w:lineRule="exact"/>
        <w:rPr>
          <w:rFonts w:ascii="Arial" w:cs="Arial" w:eastAsia="Arial" w:hAnsi="Arial"/>
          <w:sz w:val="18"/>
          <w:szCs w:val="18"/>
          <w:color w:val="auto"/>
        </w:rPr>
      </w:pPr>
    </w:p>
    <w:p>
      <w:pPr>
        <w:ind w:left="1200" w:right="20" w:hanging="449"/>
        <w:spacing w:after="0" w:line="279"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clinical data from randomized outcome and other trials. </w:t>
      </w:r>
      <w:r>
        <w:rPr>
          <w:rFonts w:ascii="Arial" w:cs="Arial" w:eastAsia="Arial" w:hAnsi="Arial"/>
          <w:sz w:val="17"/>
          <w:szCs w:val="17"/>
          <w:color w:val="auto"/>
        </w:rPr>
        <w:t>Most TMS providers have not conducted, and their systems have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the subject of, significant clinical trials or naturalistic studies to demonstrate their effectiveness. As a result, when selling their products most TMS providers must rely on smaller or more general studies or clinical trials that were conducted using other TMS systems or the NeuroStar Advanced Therapy System, which may present a barrier to adoption by psychiatrists and patients.</w:t>
      </w:r>
    </w:p>
    <w:p>
      <w:pPr>
        <w:spacing w:after="0" w:line="63" w:lineRule="exact"/>
        <w:rPr>
          <w:rFonts w:ascii="Arial" w:cs="Arial" w:eastAsia="Arial" w:hAnsi="Arial"/>
          <w:sz w:val="17"/>
          <w:szCs w:val="17"/>
          <w:color w:val="auto"/>
        </w:rPr>
      </w:pPr>
    </w:p>
    <w:p>
      <w:pPr>
        <w:ind w:left="1200" w:right="40" w:hanging="449"/>
        <w:spacing w:after="0" w:line="25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Lack of cloud-based practice management system</w:t>
      </w:r>
      <w:r>
        <w:rPr>
          <w:rFonts w:ascii="Arial" w:cs="Arial" w:eastAsia="Arial" w:hAnsi="Arial"/>
          <w:sz w:val="18"/>
          <w:szCs w:val="18"/>
          <w:color w:val="auto"/>
        </w:rPr>
        <w:t>. Many psychiatrists and psychiatrist practice groups operate in multiple locations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use multiple TMS devices. Most TMS systems, however, only allow for the storage of patient data and treatment information on a local computer. Unless connected through an inter or intra-office network, psychiatrists may not be able to access patient treatment data and information regarding the use of the TMS system. Moreover, this can create logistical challenges when psychiatrists seek to treat the patient at multiple locations or on multiple systems at the same location.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 w:name="page12"/>
    <w:bookmarkEnd w:id="11"/>
    <w:p>
      <w:pPr>
        <w:ind w:left="1200" w:hanging="449"/>
        <w:spacing w:after="0" w:line="276"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Lack of comfort and convenience</w:t>
      </w:r>
      <w:r>
        <w:rPr>
          <w:rFonts w:ascii="Arial" w:cs="Arial" w:eastAsia="Arial" w:hAnsi="Arial"/>
          <w:sz w:val="17"/>
          <w:szCs w:val="17"/>
          <w:color w:val="auto"/>
        </w:rPr>
        <w:t>. Most TMS systems are adaptations of research devices that have been repurposed. As a result,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frequently lack the ergonomic and other human factors that provide comfort and convenience and that are important for improving the patient experience and acceptance of the treatment. Other TMS systems may also require treatment to be administered for up to 45 minutes per treatment session. Some TMS systems require patients to wear a cap that fits firmly around the head and/or utilizes a chin strap that is attached from one ear to the other, which patients may consider uncomfortable.</w:t>
      </w:r>
    </w:p>
    <w:p>
      <w:pPr>
        <w:spacing w:after="0" w:line="64" w:lineRule="exact"/>
        <w:rPr>
          <w:rFonts w:ascii="Arial" w:cs="Arial" w:eastAsia="Arial" w:hAnsi="Arial"/>
          <w:sz w:val="17"/>
          <w:szCs w:val="17"/>
          <w:color w:val="auto"/>
        </w:rPr>
      </w:pPr>
    </w:p>
    <w:p>
      <w:pPr>
        <w:ind w:left="1200" w:right="100" w:hanging="449"/>
        <w:spacing w:after="0" w:line="25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customer support and practice development resources. </w:t>
      </w:r>
      <w:r>
        <w:rPr>
          <w:rFonts w:ascii="Arial" w:cs="Arial" w:eastAsia="Arial" w:hAnsi="Arial"/>
          <w:sz w:val="18"/>
          <w:szCs w:val="18"/>
          <w:color w:val="auto"/>
        </w:rPr>
        <w:t>Many psychiatrists are not accustomed to implementing a piece of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into their practice. As a result, we believe they need multi-day, on-site training for themselves and their staff, marketing and reimbursement support, and help determining the allocation of office space and proper roles of staff for the use of TMS systems. We believe that most TMS providers do not provide comprehensive clinical support and practice development resources that are necessary to operationalize a TMS service line into their practice.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designed the NeuroStar Advanced Therapy as a non-invasive and non-systemic therapeutic alternative for patients who suffer from MDD. We believe our solution addresses the key limitations of existing MDD treatment options and that NeuroStar Advanced Therapy provides the following principal benefits to our psychiatrist customers and their patients:</w:t>
      </w:r>
    </w:p>
    <w:p>
      <w:pPr>
        <w:spacing w:after="0" w:line="73" w:lineRule="exact"/>
        <w:rPr>
          <w:sz w:val="20"/>
          <w:szCs w:val="20"/>
          <w:color w:val="auto"/>
        </w:rPr>
      </w:pPr>
    </w:p>
    <w:p>
      <w:pPr>
        <w:ind w:left="1200" w:right="40" w:hanging="449"/>
        <w:spacing w:after="0" w:line="271"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Clinically demonstrated safety, efficacy, response and remission with durable results. </w:t>
      </w:r>
      <w:r>
        <w:rPr>
          <w:rFonts w:ascii="Arial" w:cs="Arial" w:eastAsia="Arial" w:hAnsi="Arial"/>
          <w:sz w:val="17"/>
          <w:szCs w:val="17"/>
          <w:color w:val="auto"/>
        </w:rPr>
        <w:t>The safety and efficacy of NeuroStar Advanced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Therapy has been demonstrated in two large prospective, multisite, randomized, sham-controlled trials. In addition, the efficacy of NeuroStar Advanced Therapy has been demonstrated in a multisite, real world, open-label, clinical trial in which patients who failed to achieve satisfactory improvement from antidepressant medication treatment in their current episode of MDD received an acute treatment course of TMS therapy. Overall, the results of this trial demonstrated that 58% of patients responded to treatment, and 37% achieved remission. In this trial, similar response and remission rates were observed across patients with a wide range of prior drug treatment attempts. The majority of patients in this trial also participated in a 12-month follow-up phase at the conclusion of which the clinician-assessed response rate in these patients was 68% and remission rate was 45%.</w:t>
      </w:r>
    </w:p>
    <w:p>
      <w:pPr>
        <w:spacing w:after="0" w:line="70" w:lineRule="exact"/>
        <w:rPr>
          <w:rFonts w:ascii="Arial" w:cs="Arial" w:eastAsia="Arial" w:hAnsi="Arial"/>
          <w:sz w:val="17"/>
          <w:szCs w:val="17"/>
          <w:color w:val="auto"/>
        </w:rPr>
      </w:pPr>
    </w:p>
    <w:p>
      <w:pPr>
        <w:ind w:left="1200" w:hanging="449"/>
        <w:spacing w:after="0" w:line="276"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Demonstrated safety profile with limited treatment-emergent side effects and high patient adherence. </w:t>
      </w:r>
      <w:r>
        <w:rPr>
          <w:rFonts w:ascii="Arial" w:cs="Arial" w:eastAsia="Arial" w:hAnsi="Arial"/>
          <w:sz w:val="17"/>
          <w:szCs w:val="17"/>
          <w:color w:val="auto"/>
        </w:rPr>
        <w:t>NeuroStar Advanced Therapy has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demonstrated safety profile without the systemic side effects typically experienced with antidepressant medications. The adverse events discontinuation rate in our sham-controlled clinical studies has been approximately 5%. For single medication treatment in the STAR*D Study, the adverse events discontinuation rate was 9% to 41%. The most common side effect associated with NeuroStar Advanced Therapy is transient, localized pain or discomfort at or near the treatment location.</w:t>
      </w:r>
    </w:p>
    <w:p>
      <w:pPr>
        <w:spacing w:after="0" w:line="64" w:lineRule="exact"/>
        <w:rPr>
          <w:rFonts w:ascii="Arial" w:cs="Arial" w:eastAsia="Arial" w:hAnsi="Arial"/>
          <w:sz w:val="17"/>
          <w:szCs w:val="17"/>
          <w:color w:val="auto"/>
        </w:rPr>
      </w:pPr>
    </w:p>
    <w:p>
      <w:pPr>
        <w:ind w:left="1200" w:right="20" w:hanging="449"/>
        <w:spacing w:after="0" w:line="290"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Precise and reproducible office-based therapy. </w:t>
      </w:r>
      <w:r>
        <w:rPr>
          <w:rFonts w:ascii="Arial" w:cs="Arial" w:eastAsia="Arial" w:hAnsi="Arial"/>
          <w:sz w:val="16"/>
          <w:szCs w:val="16"/>
          <w:color w:val="auto"/>
        </w:rPr>
        <w:t>Patients receive NeuroStar Advanced Therapy for five days a week for up to six weeks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psychiatrist’s office without the need for general anesthesia or sedation. The NeuroStar Advanced Therapy System’s proprietary components and software are designed to deliver the recommended TMS treatment dose to the indicated location on the patient’s prefrontal cortex consistently. The treatment location is determined with a three-dimensional, laser-guided, six-point coordinate system. The SenStar Connect is a proprietary component of the device designed to ensure our NeuroStar Treatment Coil is functioning properly and positioned against a patient’s head. SenStar Connect provides continuous real-time feedback to the clinician throughout the course of treatment and it tracks lost pulses during each treatment session and provides the clinician with the opportunity to readminister any lost pulses at the end of the treatment, all of which helps to ensure that a patient receives the prescribed dose of NeuroStar Advanced Therapy.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left="1200" w:right="60" w:hanging="449"/>
        <w:spacing w:after="0" w:line="270"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Efficient and convenient treatment for the patient and the psychiatrist. </w:t>
      </w:r>
      <w:r>
        <w:rPr>
          <w:rFonts w:ascii="Arial" w:cs="Arial" w:eastAsia="Arial" w:hAnsi="Arial"/>
          <w:sz w:val="17"/>
          <w:szCs w:val="17"/>
          <w:color w:val="auto"/>
        </w:rPr>
        <w:t>We have developed and deployed a treatment for MDD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TMS approved by the FDA, with each treatment cleared to be performed in as little as 19 minutes (but may take up to 39 minutes due to patient sensitivity or at the discretion of the treating psychiatrist). Our therapy is delivered while a patient is awake and alert, enabling the patient to drive a vehicle and resume normal activities immediately following each treatment session. The NeuroStar Advanced Therapy System was designed for patient and psychiatrist convenience by establishing a proprietary software system, which we refer to as MT Assist, that allows the psychiatrist to determine the proper dose and motor threshold unique to each patient. After the initial treatment session, the NeuroStar Advanced Therapy System records the treatment coordinates so they do not need to be re-identified in future treatments. Once a psychiatrist has established the patient’s coordinates during the initial treatment session, a trained member of the office staff under the supervision of the psychiatrist may administer subsequent treatment sessions.</w:t>
      </w:r>
    </w:p>
    <w:p>
      <w:pPr>
        <w:spacing w:after="0" w:line="73" w:lineRule="exact"/>
        <w:rPr>
          <w:rFonts w:ascii="Arial" w:cs="Arial" w:eastAsia="Arial" w:hAnsi="Arial"/>
          <w:sz w:val="17"/>
          <w:szCs w:val="17"/>
          <w:color w:val="auto"/>
        </w:rPr>
      </w:pPr>
    </w:p>
    <w:p>
      <w:pPr>
        <w:ind w:left="1200" w:right="40" w:hanging="449"/>
        <w:spacing w:after="0" w:line="270"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cloud-based practice management system. </w:t>
      </w:r>
      <w:r>
        <w:rPr>
          <w:rFonts w:ascii="Arial" w:cs="Arial" w:eastAsia="Arial" w:hAnsi="Arial"/>
          <w:sz w:val="17"/>
          <w:szCs w:val="17"/>
          <w:color w:val="auto"/>
        </w:rPr>
        <w:t>Our TrakStar practice management system captures all treatment relevant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encrypted information can be downloaded to any NeuroStar Advanced Therapy System in a psychiatrist’s network in order to make it convenient for a patient to receive care and increase scheduling flexibility. Patients do not need to be treated by the same NeuroStar Advanced Therapy System for each treatment session, and therefore psychiatrists who own multiple systems do not need to schedule patients to specific devices. A treating psychiatrist can download a patient’s encrypted information from TrakStar and analyze it real-time from their laptop, mobile phone or tablet. TrakStar also manages the inventory of purchased treatment sessions, which can be replenished by an office administrator online at any time. The most recent version of TrakStar software that we released enables remote software updates, diagnostics and troubleshooting and performance monitoring to maintain industry-leading up time. TrakStar also captures and records daily system utilization, office productivity and patient outcomes.</w:t>
      </w:r>
    </w:p>
    <w:p>
      <w:pPr>
        <w:spacing w:after="0" w:line="73" w:lineRule="exact"/>
        <w:rPr>
          <w:rFonts w:ascii="Arial" w:cs="Arial" w:eastAsia="Arial" w:hAnsi="Arial"/>
          <w:sz w:val="17"/>
          <w:szCs w:val="17"/>
          <w:color w:val="auto"/>
        </w:rPr>
      </w:pPr>
    </w:p>
    <w:p>
      <w:pPr>
        <w:ind w:left="1200" w:hanging="449"/>
        <w:spacing w:after="0" w:line="287"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Comprehensive customer support and practice development resources</w:t>
      </w:r>
      <w:r>
        <w:rPr>
          <w:rFonts w:ascii="Arial" w:cs="Arial" w:eastAsia="Arial" w:hAnsi="Arial"/>
          <w:sz w:val="16"/>
          <w:szCs w:val="16"/>
          <w:color w:val="auto"/>
        </w:rPr>
        <w:t>. We believe that we offer the most comprehensive practice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among all TMS system providers to help our psychiatrist customers operationalize and grow their TMS service line. We provide our customers with marketing support, such as tools to increase awareness with referring psychiatrists, providing customizable advertising materials designed to educate patients within an existing practice and in the local community, and through our digital marketing campaign, which is comprised of paid search, display advertising, social media and public relations. Our clinical practice consultants focus their efforts on helping psychiatrist customers implement our six step Practice Success Program, which includes practice management planning, patient identification, staff training on practice roles, patient consult training, outcomes data analysis, practice marketing, public relations strategies and other support services. Our reimbursement managers help our psychiatrist customers to understand how they can navigate all issues regarding the insurance reimbursement process, including investigation of benefits, prior authorizations and claims documentation. Our field service engineers are responsible for maintenance, repairs and installation of upgrades of our systems, and typically provide a response within 24 hours of a service call. This responsiveness has allowed us to realize over 99% uptime of our installed base. Finally, we also offer our customers a 24/7 support hotline to respond to medical information inquiries and technical questions that arise.</w:t>
      </w:r>
    </w:p>
    <w:p>
      <w:pPr>
        <w:spacing w:after="0" w:line="16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believe these characteristics address the limitations of antidepressant medications and competing TMS systems and as a result make our NeuroStar Advanced Therapy the most attractive non-invasive therapeutic alternative for our psychiatrist customers when they treat patients who suffer from MDD.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are focused on improving the quality of life for patients who suffer from psychiatric disorders, including MDD. Our executive team on average has 20 years of experience in healthcare, developing and commercializing innovative medical technology products. We believe that our focus and experience in treating patients with MDD, combined with the following strengths, will allow us to build our business and potentially expand our market opportunity:</w:t>
      </w:r>
    </w:p>
    <w:p>
      <w:pPr>
        <w:spacing w:after="0" w:line="39" w:lineRule="exact"/>
        <w:rPr>
          <w:sz w:val="20"/>
          <w:szCs w:val="20"/>
          <w:color w:val="auto"/>
        </w:rPr>
      </w:pPr>
    </w:p>
    <w:p>
      <w:pPr>
        <w:ind w:left="1200" w:right="80" w:hanging="449"/>
        <w:spacing w:after="0" w:line="255"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market leader in TMS therapy. </w:t>
      </w:r>
      <w:r>
        <w:rPr>
          <w:rFonts w:ascii="Arial" w:cs="Arial" w:eastAsia="Arial" w:hAnsi="Arial"/>
          <w:sz w:val="18"/>
          <w:szCs w:val="18"/>
          <w:color w:val="auto"/>
        </w:rPr>
        <w:t>We believe we are the market leader in TMS therapy based on our U.S. installed base of 907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NeuroStar Advanced Therapy Systems in approximately 707 psychiatrist offices as of December 31, 2018 and the estimated 62,900 patients treated with over 2.3 million treatment sessions through such date. We generated revenues of $52.8 million for the year ended December 31, 2018. We believe this commercial scale, combined with our investments in comprehensive practice support services and an experienced direct sales and customer support team provides us meaningful competitive advantages by creating significant barriers to entry to other TMS providers.</w:t>
      </w:r>
    </w:p>
    <w:p>
      <w:pPr>
        <w:spacing w:after="0" w:line="85" w:lineRule="exact"/>
        <w:rPr>
          <w:rFonts w:ascii="Arial" w:cs="Arial" w:eastAsia="Arial" w:hAnsi="Arial"/>
          <w:sz w:val="18"/>
          <w:szCs w:val="18"/>
          <w:color w:val="auto"/>
        </w:rPr>
      </w:pPr>
    </w:p>
    <w:p>
      <w:pPr>
        <w:ind w:left="1200" w:right="40" w:hanging="449"/>
        <w:spacing w:after="0" w:line="255"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body of clinical data and key opinion leader support. </w:t>
      </w:r>
      <w:r>
        <w:rPr>
          <w:rFonts w:ascii="Arial" w:cs="Arial" w:eastAsia="Arial" w:hAnsi="Arial"/>
          <w:sz w:val="18"/>
          <w:szCs w:val="18"/>
          <w:color w:val="auto"/>
        </w:rPr>
        <w:t>The safety, efficacy and durability of NeuroStar Advanced Therapy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what we believe is the largest clinical data set of any TMS system. Our therapy has been the subject of 11 clinical studies that have collectively enrolled more than 900 patients suffering from MDD. The results of these studies have been published in 23 articles in peer reviewed medical journals. We have also established strong relationships with key opinion leaders within the psychiatric community, who help us to educate psychiatrists from around the world on innovative treatment modalities such as TMS therapy. These key opinion leaders also help inform our clinical development programs.</w:t>
      </w:r>
    </w:p>
    <w:p>
      <w:pPr>
        <w:spacing w:after="0" w:line="85" w:lineRule="exact"/>
        <w:rPr>
          <w:rFonts w:ascii="Arial" w:cs="Arial" w:eastAsia="Arial" w:hAnsi="Arial"/>
          <w:sz w:val="18"/>
          <w:szCs w:val="18"/>
          <w:color w:val="auto"/>
        </w:rPr>
      </w:pPr>
    </w:p>
    <w:p>
      <w:pPr>
        <w:ind w:left="1200" w:right="40" w:hanging="449"/>
        <w:spacing w:after="0" w:line="273"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technology with a broad IP portfolio. </w:t>
      </w:r>
      <w:r>
        <w:rPr>
          <w:rFonts w:ascii="Arial" w:cs="Arial" w:eastAsia="Arial" w:hAnsi="Arial"/>
          <w:sz w:val="17"/>
          <w:szCs w:val="17"/>
          <w:color w:val="auto"/>
        </w:rPr>
        <w:t>Our NeuroStar Advanced Therapy incorporates several key proprietary technologies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designed to ensure the precise delivery and repeatability of our therapy in the clinical setting. As of December 31, 2018, we owned or licensed 34 issued or allowed U.S. patents, 49 issued or allowed foreign patents, eight pending U.S. patent applications, 11 pending foreign patent applications and one pending Patent Cooperation Treaty application. We believe this patent portfolio is substantially larger than that of any competing TMS companies. This portfolio covers key aspects of our technology, including contact sensing, MT Assist and our iron core magnet that allows high patient throughput.</w:t>
      </w:r>
    </w:p>
    <w:p>
      <w:pPr>
        <w:spacing w:after="0" w:line="70" w:lineRule="exact"/>
        <w:rPr>
          <w:rFonts w:ascii="Arial" w:cs="Arial" w:eastAsia="Arial" w:hAnsi="Arial"/>
          <w:sz w:val="17"/>
          <w:szCs w:val="17"/>
          <w:color w:val="auto"/>
        </w:rPr>
      </w:pPr>
    </w:p>
    <w:p>
      <w:pPr>
        <w:ind w:left="1200" w:hanging="449"/>
        <w:spacing w:after="0" w:line="288"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reimbursement coverage and experience. </w:t>
      </w:r>
      <w:r>
        <w:rPr>
          <w:rFonts w:ascii="Arial" w:cs="Arial" w:eastAsia="Arial" w:hAnsi="Arial"/>
          <w:sz w:val="16"/>
          <w:szCs w:val="16"/>
          <w:color w:val="auto"/>
        </w:rPr>
        <w:t>NeuroStar Advanced Therapy is a well-established treatment option for patients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MDD and is reimbursed by many commercial payors and Medicare contractors in the United States. We estimate that, over 65 major private insurers in the United States, including the top 25 largest private insurers, have adopted coverage policies for reimbursement of NeuroStar Advanced Therapy, representing approximately 205 million covered lives or about 95% of the total private payor covered lives in the United States. TMS treatment sessions using NeuroStar Advanced Therapy are also eligible for reimbursement for all Medicare regions, representing an additional 59 million covered lives in the United States in as of December 2018. In addition, our reimbursement team has significant experience working with our psychiatrist customers to help them navigate the reimbursement process. Our reimbursement team has assisted our customers to conduct more than 31,000 benefits investigations. We are also in the process of obtaining reimbursement coverage for NeuroStar Advanced Therapy in Japan, which we expect to receive in the second half of 2019. In April 2018 we received approval to submit reimbursement dossiers with the Japanese Ministry of Health, Labour and Welfare, or JMHLW.</w:t>
      </w:r>
    </w:p>
    <w:p>
      <w:pPr>
        <w:spacing w:after="0" w:line="61" w:lineRule="exact"/>
        <w:rPr>
          <w:rFonts w:ascii="Arial" w:cs="Arial" w:eastAsia="Arial" w:hAnsi="Arial"/>
          <w:sz w:val="16"/>
          <w:szCs w:val="16"/>
          <w:color w:val="auto"/>
        </w:rPr>
      </w:pPr>
    </w:p>
    <w:p>
      <w:pPr>
        <w:ind w:left="1200" w:right="100" w:hanging="449"/>
        <w:spacing w:after="0" w:line="255"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to enhance psychiatrist practice economics. </w:t>
      </w:r>
      <w:r>
        <w:rPr>
          <w:rFonts w:ascii="Arial" w:cs="Arial" w:eastAsia="Arial" w:hAnsi="Arial"/>
          <w:sz w:val="18"/>
          <w:szCs w:val="18"/>
          <w:color w:val="auto"/>
        </w:rPr>
        <w:t>Based on our commercial data, we believe our psychiatrist customers can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approximately $7,500 to $10,000 of revenues per patient for a standard course of treatment using the NeuroStar Advanced Therapy System, and can recoup their capital investment in our system by treating approximately 12 patients, assuming these patients receive reimbursement from Medicare or commercial insurance at levels that are similar to what our customers have observed for existing and prior patients. We believe that subsequent treatments using our system may significantly increase practice economics for our psychiatrist customers.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maintain and extend our leadership position in TMS therapy for patients with psychiatric disorders. The key elements of our strategy include:</w:t>
      </w:r>
    </w:p>
    <w:p>
      <w:pPr>
        <w:spacing w:after="0" w:line="140" w:lineRule="exact"/>
        <w:rPr>
          <w:sz w:val="20"/>
          <w:szCs w:val="20"/>
          <w:color w:val="auto"/>
        </w:rPr>
      </w:pPr>
    </w:p>
    <w:p>
      <w:pPr>
        <w:ind w:left="1200" w:hanging="449"/>
        <w:spacing w:after="0" w:line="286"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customer targeting and expand our direct sales and customer support team to accelerate growth. </w:t>
      </w:r>
      <w:r>
        <w:rPr>
          <w:rFonts w:ascii="Arial" w:cs="Arial" w:eastAsia="Arial" w:hAnsi="Arial"/>
          <w:sz w:val="16"/>
          <w:szCs w:val="16"/>
          <w:color w:val="auto"/>
        </w:rPr>
        <w:t>To capture new psychiatrist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plan to expand our specialized, direct sales organization that targets MDD treating psychiatric practices that accept reimbursement from private insurance and Medicare. Symphony Health estimates that there are approximately 26,300 group and solo practice sites in the United States with psychiatrists that prescribe antidepressant medications. Our direct sales force primarily targets 15,100 psychiatrists at 3,600 high-decile psychiatric practices that we estimate, based on data from Symphony Health and our own internal estimates, treat approximately 2.5 million patients, representing 33% of the total MDD patients in the United States who meet our labeled indication and are insured. We estimate that approximately 1.2 million of these patients have failed prior antidepressant medication attempts in the current MDD episode and are covered by insurance that will provide reimbursement based on this medical status, resulting in a targeted total addressable market of approximately $3.0 billion. After nearly doubling the number of our business development managers in the last twelve months, we intend to continue to expand our team of 46 business development managers and 7 inside sales representatives that are responsible for driving new customer acquisitions. To reach our target practices, we also plan to expand our advertising efforts, both online and through more traditional approaches, such as targeting leading psychiatric journals, practice outreach and education through monthly webcasts, attendance at key psychiatric trade shows and sponsoring clinical symposiums and product theaters.</w:t>
      </w:r>
    </w:p>
    <w:p>
      <w:pPr>
        <w:spacing w:after="0" w:line="66" w:lineRule="exact"/>
        <w:rPr>
          <w:rFonts w:ascii="Arial" w:cs="Arial" w:eastAsia="Arial" w:hAnsi="Arial"/>
          <w:sz w:val="16"/>
          <w:szCs w:val="16"/>
          <w:color w:val="auto"/>
        </w:rPr>
      </w:pPr>
    </w:p>
    <w:p>
      <w:pPr>
        <w:ind w:left="1200" w:right="60" w:hanging="449"/>
        <w:spacing w:after="0" w:line="287"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utilization of our new and existing installed base of NeuroStar Advanced Therapy Systems. </w:t>
      </w:r>
      <w:r>
        <w:rPr>
          <w:rFonts w:ascii="Arial" w:cs="Arial" w:eastAsia="Arial" w:hAnsi="Arial"/>
          <w:sz w:val="16"/>
          <w:szCs w:val="16"/>
          <w:color w:val="auto"/>
        </w:rPr>
        <w:t>We plan to expand our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support team to increase the number of patients treated by our existing installed base of 907 active NeuroStar Advanced Therapy Systems in the United States and any additional systems that we sell in the future. We intend to hire additional clinical training consultants to our existing team of eight who will focus on the ongoing training of our psychiatrist customers and their staff in order to allow our existing team of 30 clinical practice consultants to focus exclusively on helping increase patient utilization of NeuroStar Advanced Therapy in a practice. Our clinical practice consultants focus their efforts on helping psychiatrist customers implement our six step Practice Success Program. We intend to make further investments in marketing tools, such as our marketing portal, which consists of customizable practice development and advertisement materials all of which are designed to drive patient awareness within an existing practice and in the local community. We recently concluded a three-week national television advertising campaign designed to increase patient awareness of NeuroStar Advanced Therapy. We also plan to invest further in our direct to consumer marketing programs, primarily through digital marketing, which is comprised of paid search, display advertising, social media and public relations to our psychiatrist customers.</w:t>
      </w:r>
    </w:p>
    <w:p>
      <w:pPr>
        <w:spacing w:after="0" w:line="64" w:lineRule="exact"/>
        <w:rPr>
          <w:rFonts w:ascii="Arial" w:cs="Arial" w:eastAsia="Arial" w:hAnsi="Arial"/>
          <w:sz w:val="16"/>
          <w:szCs w:val="16"/>
          <w:color w:val="auto"/>
        </w:rPr>
      </w:pPr>
    </w:p>
    <w:p>
      <w:pPr>
        <w:ind w:left="1200" w:right="40" w:hanging="449"/>
        <w:spacing w:after="0" w:line="255"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market opportunities. </w:t>
      </w:r>
      <w:r>
        <w:rPr>
          <w:rFonts w:ascii="Arial" w:cs="Arial" w:eastAsia="Arial" w:hAnsi="Arial"/>
          <w:sz w:val="18"/>
          <w:szCs w:val="18"/>
          <w:color w:val="auto"/>
        </w:rPr>
        <w:t>We primarily sell our products within the United States and also sell our products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in countries where we have received regulatory approval, including Japan, Saudi Arabia, The United Arab Emirates, Singapore, and the Republic of Korea. We plan to primarily focus our commercial efforts outside of the United States on Japan. We plan to work with Teijin to obtain reimbursement approval for the NeuroStar Advanced Therapy System in the second half of 2019 and to provide sales, marketing and clinical support to ensure our commercial success. We will continue to opportunistically evaluate additional markets outside the United States and Japan for commercial expansion.</w:t>
      </w:r>
    </w:p>
    <w:p>
      <w:pPr>
        <w:spacing w:after="0" w:line="85" w:lineRule="exact"/>
        <w:rPr>
          <w:rFonts w:ascii="Arial" w:cs="Arial" w:eastAsia="Arial" w:hAnsi="Arial"/>
          <w:sz w:val="18"/>
          <w:szCs w:val="18"/>
          <w:color w:val="auto"/>
        </w:rPr>
      </w:pPr>
    </w:p>
    <w:p>
      <w:pPr>
        <w:ind w:left="1200" w:right="240" w:hanging="449"/>
        <w:spacing w:after="0" w:line="25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enhancements of our NeuroStar Advanced Therapy System and pipeline development for additional indications. </w:t>
      </w:r>
      <w:r>
        <w:rPr>
          <w:rFonts w:ascii="Arial" w:cs="Arial" w:eastAsia="Arial" w:hAnsi="Arial"/>
          <w:sz w:val="18"/>
          <w:szCs w:val="18"/>
          <w:color w:val="auto"/>
        </w:rPr>
        <w:t>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our research and development efforts to enhance the hardware and software components of our NeuroStar Advanced Therapy System for the treatment of MDD and other psychiatric disorders. We also plan to evaluate the use of enhancements to our NeuroStar Advanced Therapy System to treat other psychiatric disorders, which may include bipolar depression and post-traumatic stress disorder, or PTSD.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NeuroStar Advanced Therapy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NeuroStar Advanced Therapy System is comprised of the NeuroStar Mobile Console, Patient Positioning System, NeuroStar Treatment Coil and TrakStar practice management system. NeuroStar Treatment Sessions and SenStar Treatment Links, which we refer to as treatment sessions, represent the consumable portion of the NeuroStar Advanced Therapy Treatment System.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NeuroStar Mobile Console and Patient Positioning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NeuroStar Mobile Console and Patient Positioning System are comprised of the following components:</w:t>
      </w:r>
    </w:p>
    <w:p>
      <w:pPr>
        <w:spacing w:after="0" w:line="212" w:lineRule="exact"/>
        <w:rPr>
          <w:sz w:val="20"/>
          <w:szCs w:val="20"/>
          <w:color w:val="auto"/>
        </w:rPr>
      </w:pPr>
    </w:p>
    <w:p>
      <w:pPr>
        <w:ind w:left="4660" w:firstLine="4"/>
        <w:spacing w:after="0" w:line="286" w:lineRule="auto"/>
        <w:tabs>
          <w:tab w:leader="none" w:pos="48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LCD touch screen and graphical user interface</w:t>
      </w:r>
      <w:r>
        <w:rPr>
          <w:rFonts w:ascii="Arial" w:cs="Arial" w:eastAsia="Arial" w:hAnsi="Arial"/>
          <w:sz w:val="17"/>
          <w:szCs w:val="17"/>
          <w:color w:val="auto"/>
        </w:rPr>
        <w:t>. Our LCD touch screen and graphical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 interface provide the operator clear visual directions for sequencing the TMS treatment. User confirmation is required on critical steps to ensure accuracy.</w:t>
      </w:r>
    </w:p>
    <w:p>
      <w:pPr>
        <w:spacing w:after="0" w:line="70" w:lineRule="exact"/>
        <w:rPr>
          <w:rFonts w:ascii="Arial" w:cs="Arial" w:eastAsia="Arial" w:hAnsi="Arial"/>
          <w:sz w:val="17"/>
          <w:szCs w:val="17"/>
          <w:color w:val="auto"/>
        </w:rPr>
      </w:pPr>
    </w:p>
    <w:p>
      <w:pPr>
        <w:ind w:left="4660" w:right="220" w:firstLine="4"/>
        <w:spacing w:after="0" w:line="279" w:lineRule="auto"/>
        <w:tabs>
          <w:tab w:leader="none" w:pos="48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Patient Positioning System</w:t>
      </w:r>
      <w:r>
        <w:rPr>
          <w:rFonts w:ascii="Arial" w:cs="Arial" w:eastAsia="Arial" w:hAnsi="Arial"/>
          <w:sz w:val="17"/>
          <w:szCs w:val="17"/>
          <w:color w:val="auto"/>
        </w:rPr>
        <w:t>. The patented patient positioning system includes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electromechanically controlled chair to recline the patient during treatment and a three-dimensional positioning device that uses laser alignment and six calibrated coordinates to accurately position the patient’s head during treatment.</w:t>
      </w:r>
    </w:p>
    <w:p>
      <w:pPr>
        <w:spacing w:after="0" w:line="76" w:lineRule="exact"/>
        <w:rPr>
          <w:rFonts w:ascii="Arial" w:cs="Arial" w:eastAsia="Arial" w:hAnsi="Arial"/>
          <w:sz w:val="17"/>
          <w:szCs w:val="17"/>
          <w:color w:val="auto"/>
        </w:rPr>
      </w:pPr>
    </w:p>
    <w:p>
      <w:pPr>
        <w:ind w:left="4660" w:firstLine="4"/>
        <w:spacing w:after="0" w:line="312" w:lineRule="auto"/>
        <w:tabs>
          <w:tab w:leader="none" w:pos="48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Gantry Arm</w:t>
      </w:r>
      <w:r>
        <w:rPr>
          <w:rFonts w:ascii="Arial" w:cs="Arial" w:eastAsia="Arial" w:hAnsi="Arial"/>
          <w:sz w:val="16"/>
          <w:szCs w:val="16"/>
          <w:color w:val="auto"/>
        </w:rPr>
        <w:t>. The gantry arm mechanically counterbalances the NeuroStar Treatment Coil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allows the operator to consistently move and place it into position. Once in position, electromechanical brakes stabilize the NeuroStar Treatment Coil and gantry arm.</w:t>
      </w:r>
    </w:p>
    <w:p>
      <w:pPr>
        <w:spacing w:after="0" w:line="52" w:lineRule="exact"/>
        <w:rPr>
          <w:rFonts w:ascii="Arial" w:cs="Arial" w:eastAsia="Arial" w:hAnsi="Arial"/>
          <w:sz w:val="16"/>
          <w:szCs w:val="16"/>
          <w:color w:val="auto"/>
        </w:rPr>
      </w:pPr>
    </w:p>
    <w:p>
      <w:pPr>
        <w:ind w:left="4660" w:right="700" w:firstLine="4"/>
        <w:spacing w:after="0" w:line="308" w:lineRule="auto"/>
        <w:tabs>
          <w:tab w:leader="none" w:pos="48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 Console. </w:t>
      </w:r>
      <w:r>
        <w:rPr>
          <w:rFonts w:ascii="Arial" w:cs="Arial" w:eastAsia="Arial" w:hAnsi="Arial"/>
          <w:sz w:val="17"/>
          <w:szCs w:val="17"/>
          <w:color w:val="auto"/>
        </w:rPr>
        <w:t>The mobile console houses the embedded computer and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electronics responsible for generating the prescribed pulse 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-1912620</wp:posOffset>
            </wp:positionV>
            <wp:extent cx="2066925" cy="2512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692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NeuroStar Treatment Coil</w:t>
      </w:r>
    </w:p>
    <w:p>
      <w:pPr>
        <w:spacing w:after="0" w:line="212" w:lineRule="exact"/>
        <w:rPr>
          <w:sz w:val="20"/>
          <w:szCs w:val="20"/>
          <w:color w:val="auto"/>
        </w:rPr>
      </w:pPr>
    </w:p>
    <w:p>
      <w:pPr>
        <w:ind w:left="780" w:right="20"/>
        <w:spacing w:after="0" w:line="255" w:lineRule="auto"/>
        <w:rPr>
          <w:sz w:val="20"/>
          <w:szCs w:val="20"/>
          <w:color w:val="auto"/>
        </w:rPr>
      </w:pPr>
      <w:r>
        <w:rPr>
          <w:rFonts w:ascii="Arial" w:cs="Arial" w:eastAsia="Arial" w:hAnsi="Arial"/>
          <w:sz w:val="18"/>
          <w:szCs w:val="18"/>
          <w:color w:val="auto"/>
        </w:rPr>
        <w:t>Our proprietary NeuroStar Treatment Coil produces the magnetic field that induces the electric current at the prescribed treatment site. The iron core in our NeuroStar Treatment Coil provides efficient energy conversion and management of the magnetic field. This allows our NeuroStar Treatment Coil to function at higher operating power and lower temperatures. Our NeuroStar Treatment Coil assembly includes a small fan and sensor to assist in cooling, and temperature tracking, and ensure patient comfort and safety. This temperature management feature allows for short intervals between treatment sessions. The coil face is set at a 140-degree angle to conform with the patient’s head to ensure contact across the magnet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317500" cy="1020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0" cy="10204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SenStar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SenStar is a thin, flexible electronic circuit, as shown in the figure below, that functions in both the treatment delivery and procedure fee management for our NeuroStar Advanced Therapy System. Embedded in each SenStar is a magnetic field detector. At the start of each treatment, the NeuroStar Advanced Therapy System performs a self-test that includes verifying the magnetic field is operating within the specified limits. Each SenStar also includes a sensory guard to reduce topical irritation and improve patient comfort at the skin-coil interface.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t>SenStars also contain a patented contact sensor that allows the NeuroStar Advanced Therapy System to monitor and provide real-time visual feedback to the operator that the NeuroStar Treatment Coil is in proper contact with the patient’s head. The system tracks any pulses lost during treatment and will highlight lost pulses on the graphical user interface. At the end of treatment, the system allows the operator to administer any missed pulses to complete the full prescribed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119380</wp:posOffset>
            </wp:positionV>
            <wp:extent cx="2915920" cy="2109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592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We sell two versions of the SenStar: the SenStar Treatment Link and the SenStar Connect. </w:t>
      </w:r>
      <w:r>
        <w:rPr>
          <w:rFonts w:ascii="Arial" w:cs="Arial" w:eastAsia="Arial" w:hAnsi="Arial"/>
          <w:sz w:val="16"/>
          <w:szCs w:val="16"/>
          <w:i w:val="1"/>
          <w:iCs w:val="1"/>
          <w:color w:val="auto"/>
        </w:rPr>
        <w:t>SenStar Connect</w:t>
      </w:r>
      <w:r>
        <w:rPr>
          <w:rFonts w:ascii="Arial" w:cs="Arial" w:eastAsia="Arial" w:hAnsi="Arial"/>
          <w:sz w:val="16"/>
          <w:szCs w:val="16"/>
          <w:color w:val="auto"/>
        </w:rPr>
        <w:t xml:space="preserve"> is a multi-use device for the U.S. market. To activate a treatment session, a provider needs to purchase an encrypted activation code to enable the SenStar Connect to deliver one treatment session. NeuroStar Treatment Sessions are purchasable online 24 hours a day, any day of the year. The treatment inventory is electronically managed between the NeuroStar Advanced Therapy System and TrakStar systems using digital encryption technology. </w:t>
      </w:r>
      <w:r>
        <w:rPr>
          <w:rFonts w:ascii="Arial" w:cs="Arial" w:eastAsia="Arial" w:hAnsi="Arial"/>
          <w:sz w:val="16"/>
          <w:szCs w:val="16"/>
          <w:i w:val="1"/>
          <w:iCs w:val="1"/>
          <w:color w:val="auto"/>
        </w:rPr>
        <w:t>SenStar Treatment Link</w:t>
      </w:r>
      <w:r>
        <w:rPr>
          <w:rFonts w:ascii="Arial" w:cs="Arial" w:eastAsia="Arial" w:hAnsi="Arial"/>
          <w:sz w:val="16"/>
          <w:szCs w:val="16"/>
          <w:color w:val="auto"/>
        </w:rPr>
        <w:t xml:space="preserve"> is a single use consumable. SenStar treatment links are used outside the United States and enable one treatment session. Each is programmed for the country of use.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TrakStar Practice Management System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TrakStar patient data management system component is a cloud or local application that interfaces with the NeuroStar Advanced Therapy Systems.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TrakStar maintains patient information, prescription, treatment and medication history, positioning coordinates, depression scores and psychiatrist notes.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TrakStar automatically synchronizes patient data on all NeuroStar Advanced Therapy Systems on the network. Thus the information to treat a patient is available on every system in every office within a practice. After each treatment is completed, the data is automatically uploaded to TrakStar. This seamless data integration simplifies record management and office workflow. TrakStar supports multiple reports including patient treatment history, patient depression score trending, practice outcomes and system utilization.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TrakStar cloud allows the psychiatrist to see status of other NeuroStar Advanced Therapy Systems in real-time, and access patient data anywhere and anytime using an internet browser. TrakStar cloud is hosted in Microsoft Azure and employs multiple levels of security. Patient data is encrypted both in transit and at rest. Third-party experts successfully completed penetration testing and an overall business security assessment and certified us as compliant with National Institute of Standards and Technology, or NIST, and Health Information Technology for Economic and Clinical Health, or HITECH, standards. We also monitor traffic for cybersecurity threats on an ongoing basis.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NeuroStar Advanced Therapy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Treatment Procedure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NeuroStar Advanced Therapy is an in-office treatment that has been cleared to be performed in as little as 19 minutes per session (but may take up to 39 minutes due to patient sensitivity or at the discretion of the treating psychiatrist) and is performed while the patient is awake, alert and seated and reclined comfortably in the treatment chair. A course of treatment consists of sessions administered five days a week for up to six weeks. During the first treatment session, two essential steps are performed. First, the patient’s cortex is mapped with the NeuroStar Treatment Coil to identify the area of the brain controlling the thumb. Once the specific location on the motor cortex is found, the second step involves the use of a proprietary software algorithm, which assists the psychiatrist in estimating the physiologically appropriate magnetic field intensity for each treatment session based on the intensity needed to stimulate movement in the thumb. After these two steps are performed, the location of the motor cortex then also serves as a reference point to enable the psychiatrist to properly position the NeuroStar Treatment Coil over the left prefrontal cortical surface, resting the coil lightly in contact with the patient’s scalp. Accuracy of positioning of the treatment coil for pulse delivery is assured by use of the NeuroStar Advanced Therapy System’s three-dimensional positioning device. Once the coil is properly positioned, the device delivers NeuroStar Advanced Therapy using a highly targeted pulsed magnetic field to stimulate cortical neurons. Our therapy provides targeted stimulation of the prefrontal cortex and engages the neuronal circuitry connected to this region and known to be involved in the regulation of mood.</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treatment, accurate positioning of our NeuroStar Treatment Coil is maintained by use of a proprietary contact sensing and navigation system, which helps to ensure precise targeting of the treatment and assurance of accurate therapeutic dosing for each session. The patient typically hears a clicking sound during coil operation and feels a tapping sensation on the head for the duration of the session. Over the course of each treatment, the patient receives 3,000 pulses. Real-time feedback ensures the patient receives a full dose with safe and effective care. When the session is completed, the psychiatrist removes the coil and the patient is able to immediately resume normal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The Patient Experience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clinical studies indicate that most patients find the NeuroStar Advanced Therapy easy to tolerate when contrasted with alternative MDD treatments. After completion of a treatment session, a patient may immediately resume his or her normal activities, including work and exercise. NeuroStar Advanced Therapy patients generally do not experience the systemic side effects associated with drug therapy. The most typical side effect after treatment with NeuroStar Advanced Therapy, as shown in the figure below, is pain or discomfort near the treatment area, which is generally temporary and typically self-resolves within one week. In our sham-controlled clinical trials, approximately 5% of patients discontinued treatment due to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100965</wp:posOffset>
            </wp:positionV>
            <wp:extent cx="5034280" cy="3061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3428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Indications for Use and Research and Development</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selectively invest in research and development for the use of the NeuroStar Advanced Therapy System in psychiatric disorders. Throughout our history, we have provided material support to 50 investigator-initiated trials of such prospective additional indications. We are currently considering a number of potential future indications for the use of the NeuroStar Advanced Therapy System, including, but not limited to, those described below.</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Bipolar Depression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Bipolar depression is a psychiatric disorder characterized by a recurrent episodes of mania and depression. The depressed phase of bipolar disorder is considered to be a form of treatment resistant depression and is the most difficult to treat phase of bipolar disorder. The depressive episode diagnostic criteria in bipolar depression are identical to our current MDD indication. Although bipolar depression represents a smaller market than MDD, this disease state has few treatment options available and many patients experience suboptimal outcomes. Current treatment options for patients with bipolar depression include the use of mood stabilizers, including lithium carbonate, anticonvulsant, and second-generation antipsychotics. While these treatments are effective in managing the recurrent mania, there are few effective treatments for the depressed phase of the illness. For example, antidepressant medications may lead to instability in resolution of the manic episodes if administered alone, and the use of second-generation antipsychotic medications can be associated with undesirable long-term medical side effects, including weight gain or the development of metabolic syndrome. Based on early research, we are evaluating whether treatment with our NeuroStar Advanced Therapy System could be beneficial to these patients. If we were to pursue an additional indication in bipolar depression, we would need to conduct additional clinical trials, file an investigational device exemption and clinical trial protocols with the FDA, submit a 510(k) pre-market notification and receive clearance prior to commercialization.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Post-Traumatic Stress Disorder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Post-traumatic stress disorder, or PTSD, is a psychiatric disorder that develops in some people who have experienced an overwhelming traumatic event, such as witnessing death in a military or civilian setting, or as a result of severe physical abuse such as assault or rape. This exposure to a traumatic stressor can lead to a later unwanted re-experiencing of symptoms, avoidance behavior, alteration in cognition and mood and states of increased physiological arousal. Treatment options for PTSD include psychotherapy and SSRI antidepressant medications. We believe NeuroStar Advanced Therapy may represent a potential new treatment option for PTSD patients. If we were to pursue an additional indication in PTSD, we would need to conduct additional clinical trials, file an investigational device exemption and clinical trial protocols with the FDA, submit a 510(k) pre-market notification and receive clearance prior to commercialization.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Adolescent MDD</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completed patient enrollment with 112 adolescent MDD patients in a prospective, 13-center, randomized, sham-controlled, double-blind pivotal clinical trial with three phases that mirrors the design of our original adult, randomized, controlled trial. The purpose of this study is to evaluate the acute and long-term safety and efficacy of NeuroStar Advanced Therapy in treating adolescents with MDD. The trial utilizes a double-blind control design to minimize variability and allow for blinded assessment of the safety and efficacy of NeuroStar Advanced Therapy, using an active NeuroStar Treatment Coil compared to a system utilizing a sham NeuroStar Treatment Coil. Patients were randomly allocated in a one-to-one ratio to either active NeuroStar Treatment Coil or sham NeuroStar Treatment Coil. At the time of enrollment, patients were antidepressant-free for at least one week and up to four weeks, depending on medication washout period.</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first phase is designed to evaluate the antidepressant effects of active NeuroStar Advanced Therapy compared with sham treatment when administered five times per week for a six week acute course of therapy. The primary endpoint of this phase is the difference between active and sham arms using the 24-Item Hamilton Depression Rating Scale, or HAMD24, total score change from baseline score over the six week acute phase. Safety will be assessed at every treatment visit by recording adverse events. We are currently completing the analysis of all phases of the study, including the randomized controlled trial, open label extension and six-month follow-up study. Based on a preliminary analysis conducted in the second quarter of 2018, the primary endpoint in the first phase of the trial was not met. Although we cannot directly attribute clinical trial outcomes from other studies to our own clinical trials, we believe several clinical trials for antidepressant medications failed to meet the primary efficacy endpoint in their studies for MDD in adolescents and children. These include duloxetine, venlafaxine and, most recently, desvenlafaxine. To date, the data safety monitoring board has not identified any serious safety issues in the study population, including suicidality and seizure.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0" w:name="page21"/>
    <w:bookmarkEnd w:id="20"/>
    <w:p>
      <w:pPr>
        <w:ind w:right="20"/>
        <w:spacing w:after="0" w:line="276" w:lineRule="auto"/>
        <w:rPr>
          <w:sz w:val="20"/>
          <w:szCs w:val="20"/>
          <w:color w:val="auto"/>
        </w:rPr>
      </w:pPr>
      <w:r>
        <w:rPr>
          <w:rFonts w:ascii="Arial" w:cs="Arial" w:eastAsia="Arial" w:hAnsi="Arial"/>
          <w:sz w:val="17"/>
          <w:szCs w:val="17"/>
          <w:color w:val="auto"/>
        </w:rPr>
        <w:t>Consistent with our clinical trial protocols, patients who have completed the first phase were eligible to participate in the second phase of our clinical trial, which is a separate, open-label extension study. The second phase trial is designed to evaluate the benefit of active treatment administered five times per week for a six-week acute course of NeuroStar Advanced Therapy in patients who received active or sham treatment and did not receive protocol-defined clinical benefit in the first phase. Patients remain antidepressant medication free during the second phase. This trial will provide descriptive data on patients who are switched from sham to active treatments or receive a longer course of active treatment up to 12 weeks.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Patients who met the criteria for at least partial response in either the first or second phases of the trial were eligible to be followed in a third phase that will be a separate six-month follow up phase. Patients entering the third phase first undergo a three-week transition during which they will be gradually tapered off NeuroStar Advanced Therapy. Patients who experience symptom worsening during this phase of the study may receive reintroduction of NeuroStar Advanced Therapy. Patients remain antidepressant medication free during the third phase of the trial. The purpose of this phase is to provide descriptive data on the six-month follow-up period and any retreatments received by patients.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believe we are unlikely to seek a label expansion for the NeuroStar Advanced Therapy System for the treatment of adolescent MDD, we plan to evaluate next steps with respect to our clinical development efforts for this indication following the completion of the data analysis. We do not expect that the results from the clinical trial will be sufficient to obtain approval of our system for this indication. Nevertheless, we do not believe these clinical trial results or the failure to obtain approval of our NeuroStar Advanced Therapy System for the treatment of adolescents with MDD will have a material impact on our current or future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and Clinical Operations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Continued innovation through research and development is critical to our future success as a leader in improving the quality of life for patients who suffer from psychiatric disorders. Our research and development activity is performed with a mix of internal and third party contract resources. As of December 31, 2018, our research and development and clinical operations team consisted of 33 employees with expertise in electronic, mechanical or electrical design, software, biomedical engineering, neuroscience and clinical trial design and management. Our research and development expenses, including spending on our clinical trials and development efforts, totaled $8.2 million and $7.9 million for the years ended December 31, 2018 and 2017, respectively. Our current research and development efforts are focused primarily on platform extensions for our NeuroStar Advanced Therapy System and a series of enhancements to our TrakStar cloud-based software application. Our clinical development efforts are focused on further expanding the use of our products in additional indications. We coordinate our development efforts with our intellectual property strategies in order to enhance our ability to obtain patent and other intellectual property protection.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Results and Studies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Clinical Trial Evidence for the Safety and Efficacy of NeuroStar Advanced Therapy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Clinical evidence supporting the safety and efficacy of NeuroStar Advanced Therapy has been published in 23 peer reviewed medical journals, involving an aggregate of over 900 adult patients and more than 60 investigators. We have sponsored the largest prospective, multisite, randomized, sham-controlled trial ever conducted of a TMS device, enrolling 325 patients with treatment resistant MDD at 23 U.S. and international study sites. Results from this trial served as the basis of our initial FDA 510(k) clearance of the NeuroStar Advanced Therapy System in 2008. The clinical data from this trial were reported in </w:t>
      </w:r>
      <w:r>
        <w:rPr>
          <w:rFonts w:ascii="Arial" w:cs="Arial" w:eastAsia="Arial" w:hAnsi="Arial"/>
          <w:sz w:val="17"/>
          <w:szCs w:val="17"/>
          <w:i w:val="1"/>
          <w:iCs w:val="1"/>
          <w:color w:val="auto"/>
        </w:rPr>
        <w:t>Biological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Psychiatry </w:t>
      </w:r>
      <w:r>
        <w:rPr>
          <w:rFonts w:ascii="Arial" w:cs="Arial" w:eastAsia="Arial" w:hAnsi="Arial"/>
          <w:sz w:val="17"/>
          <w:szCs w:val="17"/>
          <w:color w:val="auto"/>
        </w:rPr>
        <w:t>in 2007. A second, industry-independent prospective, multisite, randomized, sham-controlled trial, funded by the NIMH using the NeuroStar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Advanced Therapy System, enrolled 199 patients with treatment resistant MDD across four major academic medical centers in the United States. The clinical data from this trial were submitted to the FDA in 2014, leading to an expanded labeling for our NeuroStar Advanced Therapy System for an indication of use in adult patients who have failed to benefit from one or more prior antidepressant medications in the current episode of MDD. This data was published in 2010 in </w:t>
      </w:r>
      <w:r>
        <w:rPr>
          <w:rFonts w:ascii="Arial" w:cs="Arial" w:eastAsia="Arial" w:hAnsi="Arial"/>
          <w:sz w:val="17"/>
          <w:szCs w:val="17"/>
          <w:i w:val="1"/>
          <w:iCs w:val="1"/>
          <w:color w:val="auto"/>
        </w:rPr>
        <w:t>Archives of General Psychiatry</w:t>
      </w:r>
      <w:r>
        <w:rPr>
          <w:rFonts w:ascii="Arial" w:cs="Arial" w:eastAsia="Arial" w:hAnsi="Arial"/>
          <w:sz w:val="17"/>
          <w:szCs w:val="17"/>
          <w:color w:val="auto"/>
        </w:rPr>
        <w:t xml:space="preserve">, now published as </w:t>
      </w:r>
      <w:r>
        <w:rPr>
          <w:rFonts w:ascii="Arial" w:cs="Arial" w:eastAsia="Arial" w:hAnsi="Arial"/>
          <w:sz w:val="17"/>
          <w:szCs w:val="17"/>
          <w:i w:val="1"/>
          <w:iCs w:val="1"/>
          <w:color w:val="auto"/>
        </w:rPr>
        <w:t>JAMA Psychiatry</w:t>
      </w:r>
      <w:r>
        <w:rPr>
          <w:rFonts w:ascii="Arial" w:cs="Arial" w:eastAsia="Arial" w:hAnsi="Arial"/>
          <w:sz w:val="17"/>
          <w:szCs w:val="17"/>
          <w:color w:val="auto"/>
        </w:rPr>
        <w:t>. We sponsored the largest, post-market naturalistic outcomes study of the use of the NeuroStar Advanced Therapy System in routine clinical practice. This study enrolled 307 patients with treatment resistant MDD seeking care at 42 U.S. study sites. Patients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80"/>
        <w:spacing w:after="0" w:line="264" w:lineRule="auto"/>
        <w:rPr>
          <w:sz w:val="20"/>
          <w:szCs w:val="20"/>
          <w:color w:val="auto"/>
        </w:rPr>
      </w:pPr>
      <w:r>
        <w:rPr>
          <w:rFonts w:ascii="Arial" w:cs="Arial" w:eastAsia="Arial" w:hAnsi="Arial"/>
          <w:sz w:val="18"/>
          <w:szCs w:val="18"/>
          <w:color w:val="auto"/>
        </w:rPr>
        <w:t xml:space="preserve">in this study were assessed at the beginning and end of their prescribed acute treatment course, and 257 of these patients agreed to be followed for a period of 12 months to characterize the durability of the long-term outcome in clinical practice. Results of this study were published in the </w:t>
      </w:r>
      <w:r>
        <w:rPr>
          <w:rFonts w:ascii="Arial" w:cs="Arial" w:eastAsia="Arial" w:hAnsi="Arial"/>
          <w:sz w:val="18"/>
          <w:szCs w:val="18"/>
          <w:i w:val="1"/>
          <w:iCs w:val="1"/>
          <w:color w:val="auto"/>
        </w:rPr>
        <w:t>Journal of 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Psychiatry </w:t>
      </w:r>
      <w:r>
        <w:rPr>
          <w:rFonts w:ascii="Arial" w:cs="Arial" w:eastAsia="Arial" w:hAnsi="Arial"/>
          <w:sz w:val="18"/>
          <w:szCs w:val="18"/>
          <w:color w:val="auto"/>
        </w:rPr>
        <w:t>in 2012 and in</w:t>
      </w:r>
      <w:r>
        <w:rPr>
          <w:rFonts w:ascii="Arial" w:cs="Arial" w:eastAsia="Arial" w:hAnsi="Arial"/>
          <w:sz w:val="18"/>
          <w:szCs w:val="18"/>
          <w:i w:val="1"/>
          <w:iCs w:val="1"/>
          <w:color w:val="auto"/>
        </w:rPr>
        <w:t xml:space="preserve"> CNS Spectrums </w:t>
      </w:r>
      <w:r>
        <w:rPr>
          <w:rFonts w:ascii="Arial" w:cs="Arial" w:eastAsia="Arial" w:hAnsi="Arial"/>
          <w:sz w:val="18"/>
          <w:szCs w:val="18"/>
          <w:color w:val="auto"/>
        </w:rPr>
        <w:t>in 2014.</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Efficacy endpoints reported in these clinical trials used validated and well-accepted measures of symptomatic benefit to characterize antidepressant medication treatment in clinical trials and included those measures listed in Figure 1. An accepted goal of treatment with an antidepressant is the definitive resolution of the symptoms, which is defined as remission. Remission is defined using a validated, clinician-administered rating scale such as the 17 or 24-item versions of HAMD or the Montgomery-Asberg Depression Rating Scale, or MADRS. Patients who achieve an endpoint score below 8 points on the 17-item HAMD, below 11 points on the 24-item HAMD or below 10 points on the MADRS, are considered to have reached remission of illness. A clinically global, psychiatrist rated scale, such as the Clinical Global Impressions-Severity of Illness, or CGI-S, scale can also grade remission if a patient reaches an end of treatment score of one or two on that scale.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gridSpan w:val="2"/>
          </w:tcPr>
          <w:p>
            <w:pPr>
              <w:ind w:left="1100"/>
              <w:spacing w:after="0"/>
              <w:rPr>
                <w:sz w:val="20"/>
                <w:szCs w:val="20"/>
                <w:color w:val="auto"/>
              </w:rPr>
            </w:pPr>
            <w:r>
              <w:rPr>
                <w:rFonts w:ascii="Arial" w:cs="Arial" w:eastAsia="Arial" w:hAnsi="Arial"/>
                <w:sz w:val="14"/>
                <w:szCs w:val="14"/>
                <w:b w:val="1"/>
                <w:bCs w:val="1"/>
                <w:color w:val="auto"/>
              </w:rPr>
              <w:t>Depression Assessment Scale</w:t>
            </w:r>
          </w:p>
        </w:tc>
        <w:tc>
          <w:tcPr>
            <w:tcW w:w="4100" w:type="dxa"/>
            <w:vAlign w:val="bottom"/>
            <w:gridSpan w:val="2"/>
          </w:tcPr>
          <w:p>
            <w:pPr>
              <w:ind w:left="1520"/>
              <w:spacing w:after="0"/>
              <w:rPr>
                <w:sz w:val="20"/>
                <w:szCs w:val="20"/>
                <w:color w:val="auto"/>
              </w:rPr>
            </w:pPr>
            <w:r>
              <w:rPr>
                <w:rFonts w:ascii="Arial" w:cs="Arial" w:eastAsia="Arial" w:hAnsi="Arial"/>
                <w:sz w:val="14"/>
                <w:szCs w:val="14"/>
                <w:b w:val="1"/>
                <w:bCs w:val="1"/>
                <w:color w:val="auto"/>
              </w:rPr>
              <w:t>Response Criteria</w:t>
            </w:r>
          </w:p>
        </w:tc>
        <w:tc>
          <w:tcPr>
            <w:tcW w:w="3220" w:type="dxa"/>
            <w:vAlign w:val="bottom"/>
          </w:tcPr>
          <w:p>
            <w:pPr>
              <w:ind w:left="1100"/>
              <w:spacing w:after="0"/>
              <w:rPr>
                <w:sz w:val="20"/>
                <w:szCs w:val="20"/>
                <w:color w:val="auto"/>
              </w:rPr>
            </w:pPr>
            <w:r>
              <w:rPr>
                <w:rFonts w:ascii="Arial" w:cs="Arial" w:eastAsia="Arial" w:hAnsi="Arial"/>
                <w:sz w:val="14"/>
                <w:szCs w:val="14"/>
                <w:b w:val="1"/>
                <w:bCs w:val="1"/>
                <w:color w:val="auto"/>
              </w:rPr>
              <w:t>Remission Criteria</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MADRS</w:t>
            </w:r>
          </w:p>
        </w:tc>
        <w:tc>
          <w:tcPr>
            <w:tcW w:w="10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 change from baseline</w:t>
            </w:r>
          </w:p>
        </w:tc>
        <w:tc>
          <w:tcPr>
            <w:tcW w:w="10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&lt;10</w:t>
            </w: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HAMD17</w:t>
            </w:r>
          </w:p>
        </w:tc>
        <w:tc>
          <w:tcPr>
            <w:tcW w:w="4100" w:type="dxa"/>
            <w:vAlign w:val="bottom"/>
            <w:gridSpan w:val="2"/>
          </w:tcPr>
          <w:p>
            <w:pPr>
              <w:spacing w:after="0"/>
              <w:rPr>
                <w:sz w:val="20"/>
                <w:szCs w:val="20"/>
                <w:color w:val="auto"/>
              </w:rPr>
            </w:pPr>
            <w:r>
              <w:rPr>
                <w:rFonts w:ascii="Arial" w:cs="Arial" w:eastAsia="Arial" w:hAnsi="Arial"/>
                <w:sz w:val="18"/>
                <w:szCs w:val="18"/>
                <w:color w:val="auto"/>
              </w:rPr>
              <w:t>50% change from baseline</w:t>
            </w:r>
          </w:p>
        </w:tc>
        <w:tc>
          <w:tcPr>
            <w:tcW w:w="3220" w:type="dxa"/>
            <w:vAlign w:val="bottom"/>
          </w:tcPr>
          <w:p>
            <w:pPr>
              <w:spacing w:after="0"/>
              <w:rPr>
                <w:sz w:val="20"/>
                <w:szCs w:val="20"/>
                <w:color w:val="auto"/>
              </w:rPr>
            </w:pPr>
            <w:r>
              <w:rPr>
                <w:rFonts w:ascii="Arial" w:cs="Arial" w:eastAsia="Arial" w:hAnsi="Arial"/>
                <w:sz w:val="18"/>
                <w:szCs w:val="18"/>
                <w:color w:val="auto"/>
              </w:rPr>
              <w:t>&lt;8</w:t>
            </w: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HAMD24</w:t>
            </w:r>
          </w:p>
        </w:tc>
        <w:tc>
          <w:tcPr>
            <w:tcW w:w="4100" w:type="dxa"/>
            <w:vAlign w:val="bottom"/>
            <w:gridSpan w:val="2"/>
          </w:tcPr>
          <w:p>
            <w:pPr>
              <w:spacing w:after="0"/>
              <w:rPr>
                <w:sz w:val="20"/>
                <w:szCs w:val="20"/>
                <w:color w:val="auto"/>
              </w:rPr>
            </w:pPr>
            <w:r>
              <w:rPr>
                <w:rFonts w:ascii="Arial" w:cs="Arial" w:eastAsia="Arial" w:hAnsi="Arial"/>
                <w:sz w:val="18"/>
                <w:szCs w:val="18"/>
                <w:color w:val="auto"/>
              </w:rPr>
              <w:t>50% change from baseline</w:t>
            </w:r>
          </w:p>
        </w:tc>
        <w:tc>
          <w:tcPr>
            <w:tcW w:w="3220" w:type="dxa"/>
            <w:vAlign w:val="bottom"/>
          </w:tcPr>
          <w:p>
            <w:pPr>
              <w:spacing w:after="0"/>
              <w:rPr>
                <w:sz w:val="20"/>
                <w:szCs w:val="20"/>
                <w:color w:val="auto"/>
              </w:rPr>
            </w:pPr>
            <w:r>
              <w:rPr>
                <w:rFonts w:ascii="Arial" w:cs="Arial" w:eastAsia="Arial" w:hAnsi="Arial"/>
                <w:sz w:val="18"/>
                <w:szCs w:val="18"/>
                <w:color w:val="auto"/>
              </w:rPr>
              <w:t>&lt;11</w:t>
            </w:r>
          </w:p>
        </w:tc>
      </w:tr>
      <w:tr>
        <w:trPr>
          <w:trHeight w:val="229"/>
        </w:trPr>
        <w:tc>
          <w:tcPr>
            <w:tcW w:w="4100" w:type="dxa"/>
            <w:vAlign w:val="bottom"/>
            <w:gridSpan w:val="3"/>
          </w:tcPr>
          <w:p>
            <w:pPr>
              <w:spacing w:after="0"/>
              <w:rPr>
                <w:sz w:val="20"/>
                <w:szCs w:val="20"/>
                <w:color w:val="auto"/>
              </w:rPr>
            </w:pPr>
            <w:r>
              <w:rPr>
                <w:rFonts w:ascii="Arial" w:cs="Arial" w:eastAsia="Arial" w:hAnsi="Arial"/>
                <w:sz w:val="18"/>
                <w:szCs w:val="18"/>
                <w:color w:val="auto"/>
              </w:rPr>
              <w:t>CGI-S</w:t>
            </w:r>
          </w:p>
        </w:tc>
        <w:tc>
          <w:tcPr>
            <w:tcW w:w="4100" w:type="dxa"/>
            <w:vAlign w:val="bottom"/>
            <w:gridSpan w:val="2"/>
          </w:tcPr>
          <w:p>
            <w:pPr>
              <w:spacing w:after="0"/>
              <w:rPr>
                <w:sz w:val="20"/>
                <w:szCs w:val="20"/>
                <w:color w:val="auto"/>
              </w:rPr>
            </w:pPr>
            <w:r>
              <w:rPr>
                <w:rFonts w:ascii="Arial" w:cs="Arial" w:eastAsia="Arial" w:hAnsi="Arial"/>
                <w:sz w:val="18"/>
                <w:szCs w:val="18"/>
                <w:color w:val="auto"/>
              </w:rPr>
              <w:t>≤3 score</w:t>
            </w:r>
          </w:p>
        </w:tc>
        <w:tc>
          <w:tcPr>
            <w:tcW w:w="3220" w:type="dxa"/>
            <w:vAlign w:val="bottom"/>
          </w:tcPr>
          <w:p>
            <w:pPr>
              <w:spacing w:after="0"/>
              <w:rPr>
                <w:sz w:val="20"/>
                <w:szCs w:val="20"/>
                <w:color w:val="auto"/>
              </w:rPr>
            </w:pPr>
            <w:r>
              <w:rPr>
                <w:rFonts w:ascii="Arial" w:cs="Arial" w:eastAsia="Arial" w:hAnsi="Arial"/>
                <w:sz w:val="18"/>
                <w:szCs w:val="18"/>
                <w:color w:val="auto"/>
              </w:rPr>
              <w:t>≤2 score</w:t>
            </w: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PHQ-9</w:t>
            </w:r>
          </w:p>
        </w:tc>
        <w:tc>
          <w:tcPr>
            <w:tcW w:w="4000" w:type="dxa"/>
            <w:vAlign w:val="bottom"/>
          </w:tcPr>
          <w:p>
            <w:pPr>
              <w:spacing w:after="0"/>
              <w:rPr>
                <w:sz w:val="20"/>
                <w:szCs w:val="20"/>
                <w:color w:val="auto"/>
              </w:rPr>
            </w:pPr>
            <w:r>
              <w:rPr>
                <w:rFonts w:ascii="Arial" w:cs="Arial" w:eastAsia="Arial" w:hAnsi="Arial"/>
                <w:sz w:val="18"/>
                <w:szCs w:val="18"/>
                <w:color w:val="auto"/>
              </w:rPr>
              <w:t>&lt;10</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&lt;5</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1. </w:t>
      </w:r>
      <w:r>
        <w:rPr>
          <w:rFonts w:ascii="Arial" w:cs="Arial" w:eastAsia="Arial" w:hAnsi="Arial"/>
          <w:sz w:val="14"/>
          <w:szCs w:val="14"/>
          <w:color w:val="auto"/>
        </w:rPr>
        <w:t>Validated measures of symptomatic benefit to characterize antidepressant treatment effect.</w:t>
      </w:r>
    </w:p>
    <w:p>
      <w:pPr>
        <w:spacing w:after="0" w:line="2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Patient-rated outcomes are also used to verify symptom improvement. In the NeuroStar Advanced Therapy clinical trial data, the PHQ-9 scale was used, with a score below five indicating remission of illness. Significant clinical improvement that does not constitute remission is termed response, and is graded by a 50% or greater reduction of score from baseline on the HAMD and MADRS scales, and a score of one, two or three on the CGI-S or a score below 10 on the PHQ-9. Outcomes are also reported for each of these rating scales as a mean change in total score from baseline, called continuous outcome measures. Standardized effect size measures are used to assess the statistical magnitude of treatment benefit (active versus control) in a clinical trial, and because they are normalized measures, allow the comparison of treatment benefit across different clinical studies. Standardized effect sizes of greater than 0.50 are considered large, between 0.30 and 0.50 are considered medium and below 0.30 are considered small.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Randomized Controlled Trial</w:t>
      </w:r>
    </w:p>
    <w:p>
      <w:pPr>
        <w:spacing w:after="0" w:line="11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U.S. registration trial was a prospective, multisite, randomized, sham-controlled trial at 23 U.S. and international study sites that enrolled 325 patients from January 2004 through August 2005 to evaluate the safety and efficacy of NeuroStar Advanced Therapy in patients who met DSM-IV criteria for MDD, with a moderate level of treatment resistance based on rigorous evidence of failure of benefit from prior treatment with a research-grade exposure to at least one and up to four complete antidepressant medication trials. Patients were randomized to either active NeuroStar Advanced Therapy or sham-controlled TMS. The primary efficacy endpoint of this trial was a statistically significant, or P&lt;0.05, average baseline to endpoint change in MADRS score for patients in the active NeuroStar Advanced Therapy treatment group when compared to the change in MADRS score for the sham-controlled TMS patient treatment group using the last visit MADRS score through week four of the acute phase. The trial design consisted of three phases: a one week, no-treatment lead-</w:t>
      </w:r>
    </w:p>
    <w:p>
      <w:pPr>
        <w:spacing w:after="0" w:line="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phase; a six week acute treatment phase of daily TMS sessions scheduled in a 5-day sequence, for a maximum of 30 sessions during which NeuroStar Advanced Therapy was given in the active treatment arm as a monotherapy in medication-free patients, and a three week taper phase during which time all patients were begun on an open-label, single antidepressant medication and followed for six months to examine the durability of the acute effect of TMS.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right="40"/>
        <w:spacing w:after="0" w:line="286" w:lineRule="auto"/>
        <w:rPr>
          <w:sz w:val="20"/>
          <w:szCs w:val="20"/>
          <w:color w:val="auto"/>
        </w:rPr>
      </w:pPr>
      <w:r>
        <w:rPr>
          <w:rFonts w:ascii="Arial" w:cs="Arial" w:eastAsia="Arial" w:hAnsi="Arial"/>
          <w:sz w:val="16"/>
          <w:szCs w:val="16"/>
          <w:color w:val="auto"/>
        </w:rPr>
        <w:t>Results for the overall trial population demonstrated clinically meaningful improvement on the primary efficacy outcome measure, baseline to endpoint change on the MADRS at four weeks, as shown in Figure 2 (MADRS, P=0.057, standardized effect size = 0.38), although the primary efficacy endpoint of the trial was not achieved. Additionally, several secondary outcome measures demonstrated statistically and clinically significant benefit for active NeuroStar Advanced Therapy compared with sham-controlled TMS. Among these secondary outcome measures were a superior outcome on the HAMD, with both the</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17 and 24-item versions showing baseline to endpoint change for active NeuroStar Advanced Therapy at four weeks, as shown in Figure 3 (17-Item change: P=0.006, standardized effect size = 0.55) and as shown in Figure 4 (24-Item change: P=0.012, standardized effect size = 0.48). These outcomes were sustained at the secondary efficacy time point at week six, with a significant advantage in favor of active NeuroStar Advanced Therapy.</w:t>
      </w:r>
    </w:p>
    <w:p>
      <w:pPr>
        <w:spacing w:after="0" w:line="138" w:lineRule="exact"/>
        <w:rPr>
          <w:sz w:val="20"/>
          <w:szCs w:val="20"/>
          <w:color w:val="auto"/>
        </w:rPr>
      </w:pPr>
    </w:p>
    <w:p>
      <w:pPr>
        <w:ind w:left="2640"/>
        <w:spacing w:after="0"/>
        <w:tabs>
          <w:tab w:leader="none" w:pos="6440" w:val="left"/>
        </w:tabs>
        <w:rPr>
          <w:sz w:val="20"/>
          <w:szCs w:val="20"/>
          <w:color w:val="auto"/>
        </w:rPr>
      </w:pPr>
      <w:r>
        <w:rPr>
          <w:rFonts w:ascii="Arial" w:cs="Arial" w:eastAsia="Arial" w:hAnsi="Arial"/>
          <w:sz w:val="13"/>
          <w:szCs w:val="13"/>
          <w:b w:val="1"/>
          <w:bCs w:val="1"/>
          <w:color w:val="auto"/>
        </w:rPr>
        <w:t>Efficacy Outcome Measure—MADRS</w:t>
      </w:r>
      <w:r>
        <w:rPr>
          <w:sz w:val="20"/>
          <w:szCs w:val="20"/>
          <w:color w:val="auto"/>
        </w:rPr>
        <w:tab/>
      </w:r>
      <w:r>
        <w:rPr>
          <w:rFonts w:ascii="Arial" w:cs="Arial" w:eastAsia="Arial" w:hAnsi="Arial"/>
          <w:sz w:val="11"/>
          <w:szCs w:val="11"/>
          <w:b w:val="1"/>
          <w:bCs w:val="1"/>
          <w:color w:val="auto"/>
        </w:rPr>
        <w:t>Efficacy Outcome Measure—HAMD17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139700</wp:posOffset>
            </wp:positionV>
            <wp:extent cx="4836795" cy="1063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36795" cy="106362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940"/>
        <w:spacing w:after="0"/>
        <w:rPr>
          <w:sz w:val="20"/>
          <w:szCs w:val="20"/>
          <w:color w:val="auto"/>
        </w:rPr>
      </w:pPr>
      <w:r>
        <w:rPr>
          <w:rFonts w:ascii="Arial" w:cs="Arial" w:eastAsia="Arial" w:hAnsi="Arial"/>
          <w:sz w:val="14"/>
          <w:szCs w:val="14"/>
          <w:color w:val="auto"/>
        </w:rPr>
        <w:t>P = 0.057 for week 4 contrast</w:t>
      </w:r>
    </w:p>
    <w:p>
      <w:pPr>
        <w:ind w:left="2000" w:right="60"/>
        <w:spacing w:after="0" w:line="237" w:lineRule="auto"/>
        <w:rPr>
          <w:sz w:val="20"/>
          <w:szCs w:val="20"/>
          <w:color w:val="auto"/>
        </w:rPr>
      </w:pPr>
      <w:r>
        <w:rPr>
          <w:rFonts w:ascii="Arial" w:cs="Arial" w:eastAsia="Arial" w:hAnsi="Arial"/>
          <w:sz w:val="14"/>
          <w:szCs w:val="14"/>
          <w:b w:val="1"/>
          <w:bCs w:val="1"/>
          <w:color w:val="auto"/>
        </w:rPr>
        <w:t xml:space="preserve">Figure 2. </w:t>
      </w:r>
      <w:r>
        <w:rPr>
          <w:rFonts w:ascii="Arial" w:cs="Arial" w:eastAsia="Arial" w:hAnsi="Arial"/>
          <w:sz w:val="14"/>
          <w:szCs w:val="14"/>
          <w:color w:val="auto"/>
        </w:rPr>
        <w:t>MADRS total score change from baseline during the</w:t>
      </w:r>
      <w:r>
        <w:rPr>
          <w:rFonts w:ascii="Arial" w:cs="Arial" w:eastAsia="Arial" w:hAnsi="Arial"/>
          <w:sz w:val="14"/>
          <w:szCs w:val="14"/>
          <w:b w:val="1"/>
          <w:bCs w:val="1"/>
          <w:color w:val="auto"/>
        </w:rPr>
        <w:t xml:space="preserve"> </w:t>
      </w:r>
      <w:r>
        <w:rPr>
          <w:rFonts w:ascii="Arial" w:cs="Arial" w:eastAsia="Arial" w:hAnsi="Arial"/>
          <w:sz w:val="14"/>
          <w:szCs w:val="14"/>
          <w:color w:val="auto"/>
        </w:rPr>
        <w:t>acute treatment phase.</w:t>
      </w:r>
    </w:p>
    <w:p>
      <w:pPr>
        <w:spacing w:after="0" w:line="71"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Efficacy Outcome Measure—HAMD24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143510</wp:posOffset>
            </wp:positionV>
            <wp:extent cx="2212340" cy="969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1234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940"/>
        <w:spacing w:after="0"/>
        <w:rPr>
          <w:sz w:val="20"/>
          <w:szCs w:val="20"/>
          <w:color w:val="auto"/>
        </w:rPr>
      </w:pPr>
      <w:r>
        <w:rPr>
          <w:rFonts w:ascii="Arial" w:cs="Arial" w:eastAsia="Arial" w:hAnsi="Arial"/>
          <w:sz w:val="14"/>
          <w:szCs w:val="14"/>
          <w:b w:val="1"/>
          <w:bCs w:val="1"/>
          <w:color w:val="auto"/>
        </w:rPr>
        <w:t>P = 0.012 for week 4 contrast</w:t>
      </w:r>
    </w:p>
    <w:p>
      <w:pPr>
        <w:spacing w:after="0" w:line="4" w:lineRule="exact"/>
        <w:rPr>
          <w:sz w:val="20"/>
          <w:szCs w:val="20"/>
          <w:color w:val="auto"/>
        </w:rPr>
      </w:pPr>
    </w:p>
    <w:p>
      <w:pPr>
        <w:ind w:left="2000"/>
        <w:spacing w:after="0" w:line="237" w:lineRule="auto"/>
        <w:rPr>
          <w:sz w:val="20"/>
          <w:szCs w:val="20"/>
          <w:color w:val="auto"/>
        </w:rPr>
      </w:pPr>
      <w:r>
        <w:rPr>
          <w:rFonts w:ascii="Arial" w:cs="Arial" w:eastAsia="Arial" w:hAnsi="Arial"/>
          <w:sz w:val="14"/>
          <w:szCs w:val="14"/>
          <w:b w:val="1"/>
          <w:bCs w:val="1"/>
          <w:color w:val="auto"/>
        </w:rPr>
        <w:t xml:space="preserve">Figure 4. </w:t>
      </w:r>
      <w:r>
        <w:rPr>
          <w:rFonts w:ascii="Arial" w:cs="Arial" w:eastAsia="Arial" w:hAnsi="Arial"/>
          <w:sz w:val="14"/>
          <w:szCs w:val="14"/>
          <w:color w:val="auto"/>
        </w:rPr>
        <w:t>HAMD24 total score change from baseline during the</w:t>
      </w:r>
      <w:r>
        <w:rPr>
          <w:rFonts w:ascii="Arial" w:cs="Arial" w:eastAsia="Arial" w:hAnsi="Arial"/>
          <w:sz w:val="14"/>
          <w:szCs w:val="14"/>
          <w:b w:val="1"/>
          <w:bCs w:val="1"/>
          <w:color w:val="auto"/>
        </w:rPr>
        <w:t xml:space="preserve"> </w:t>
      </w:r>
      <w:r>
        <w:rPr>
          <w:rFonts w:ascii="Arial" w:cs="Arial" w:eastAsia="Arial" w:hAnsi="Arial"/>
          <w:sz w:val="14"/>
          <w:szCs w:val="14"/>
          <w:color w:val="auto"/>
        </w:rPr>
        <w:t>acute treatment phase.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60"/>
        <w:spacing w:after="0"/>
        <w:rPr>
          <w:sz w:val="20"/>
          <w:szCs w:val="20"/>
          <w:color w:val="auto"/>
        </w:rPr>
      </w:pPr>
      <w:r>
        <w:rPr>
          <w:rFonts w:ascii="Arial" w:cs="Arial" w:eastAsia="Arial" w:hAnsi="Arial"/>
          <w:sz w:val="14"/>
          <w:szCs w:val="14"/>
          <w:b w:val="1"/>
          <w:bCs w:val="1"/>
          <w:color w:val="auto"/>
        </w:rPr>
        <w:t>P = 0.006 for week 4 contrast</w:t>
      </w:r>
    </w:p>
    <w:p>
      <w:pPr>
        <w:spacing w:after="0" w:line="4" w:lineRule="exact"/>
        <w:rPr>
          <w:sz w:val="20"/>
          <w:szCs w:val="20"/>
          <w:color w:val="auto"/>
        </w:rPr>
      </w:pPr>
    </w:p>
    <w:p>
      <w:pPr>
        <w:ind w:right="1900"/>
        <w:spacing w:after="0" w:line="237" w:lineRule="auto"/>
        <w:rPr>
          <w:sz w:val="20"/>
          <w:szCs w:val="20"/>
          <w:color w:val="auto"/>
        </w:rPr>
      </w:pPr>
      <w:r>
        <w:rPr>
          <w:rFonts w:ascii="Arial" w:cs="Arial" w:eastAsia="Arial" w:hAnsi="Arial"/>
          <w:sz w:val="14"/>
          <w:szCs w:val="14"/>
          <w:b w:val="1"/>
          <w:bCs w:val="1"/>
          <w:color w:val="auto"/>
        </w:rPr>
        <w:t xml:space="preserve">Figure 3. </w:t>
      </w:r>
      <w:r>
        <w:rPr>
          <w:rFonts w:ascii="Arial" w:cs="Arial" w:eastAsia="Arial" w:hAnsi="Arial"/>
          <w:sz w:val="14"/>
          <w:szCs w:val="14"/>
          <w:color w:val="auto"/>
        </w:rPr>
        <w:t>HAMD17 total score change from baseline during the</w:t>
      </w:r>
      <w:r>
        <w:rPr>
          <w:rFonts w:ascii="Arial" w:cs="Arial" w:eastAsia="Arial" w:hAnsi="Arial"/>
          <w:sz w:val="14"/>
          <w:szCs w:val="14"/>
          <w:b w:val="1"/>
          <w:bCs w:val="1"/>
          <w:color w:val="auto"/>
        </w:rPr>
        <w:t xml:space="preserve"> </w:t>
      </w:r>
      <w:r>
        <w:rPr>
          <w:rFonts w:ascii="Arial" w:cs="Arial" w:eastAsia="Arial" w:hAnsi="Arial"/>
          <w:sz w:val="14"/>
          <w:szCs w:val="14"/>
          <w:color w:val="auto"/>
        </w:rPr>
        <w:t>acute treatment phase.</w:t>
      </w:r>
    </w:p>
    <w:p>
      <w:pPr>
        <w:spacing w:after="0" w:line="2632" w:lineRule="exact"/>
        <w:rPr>
          <w:sz w:val="20"/>
          <w:szCs w:val="20"/>
          <w:color w:val="auto"/>
        </w:rPr>
      </w:pPr>
    </w:p>
    <w:p>
      <w:pPr>
        <w:sectPr>
          <w:pgSz w:w="11900" w:h="16838" w:orient="portrait"/>
          <w:cols w:equalWidth="0" w:num="2">
            <w:col w:w="5680" w:space="120"/>
            <w:col w:w="5600"/>
          </w:cols>
          <w:pgMar w:left="240" w:top="557" w:right="259" w:bottom="1440" w:gutter="0" w:footer="0" w:header="0"/>
          <w:type w:val="continuous"/>
        </w:sectPr>
      </w:pPr>
    </w:p>
    <w:p>
      <w:pPr>
        <w:spacing w:after="0" w:line="297" w:lineRule="auto"/>
        <w:rPr>
          <w:sz w:val="20"/>
          <w:szCs w:val="20"/>
          <w:color w:val="auto"/>
        </w:rPr>
      </w:pPr>
      <w:r>
        <w:rPr>
          <w:rFonts w:ascii="Arial" w:cs="Arial" w:eastAsia="Arial" w:hAnsi="Arial"/>
          <w:sz w:val="16"/>
          <w:szCs w:val="16"/>
          <w:color w:val="auto"/>
        </w:rPr>
        <w:t>We also observed a statistically significant benefit in categorical outcomes of response and remission rates on the MADRS, as shown in Figure 5, the HAMD17, as shown in Figure 6, and the HAMD24, as shown in Figure 7. In this trial, NeuroStar Advanced Therapy was well tolerated and safe. The dropout rate for any reason was low and similar in the active therapy (7.7%) and sham-controlled TMS (8.2%) treatment groups at four weeks, and discontinuation specifically because of side effects was similar in the active therapy (4.5%) and sham-controlled TMS (3.4%) treatment groups. The trial demonstrated that NeuroStar Advanced Therapy administered over a period of six weeks was effective in treating MDD and with a favorable tolerability profile.</w:t>
      </w:r>
    </w:p>
    <w:p>
      <w:pPr>
        <w:spacing w:after="0" w:line="136" w:lineRule="exact"/>
        <w:rPr>
          <w:sz w:val="20"/>
          <w:szCs w:val="20"/>
          <w:color w:val="auto"/>
        </w:rPr>
      </w:pPr>
    </w:p>
    <w:p>
      <w:pPr>
        <w:ind w:left="1980"/>
        <w:spacing w:after="0"/>
        <w:tabs>
          <w:tab w:leader="none" w:pos="6180" w:val="left"/>
        </w:tabs>
        <w:rPr>
          <w:sz w:val="20"/>
          <w:szCs w:val="20"/>
          <w:color w:val="auto"/>
        </w:rPr>
      </w:pPr>
      <w:r>
        <w:rPr>
          <w:rFonts w:ascii="Arial" w:cs="Arial" w:eastAsia="Arial" w:hAnsi="Arial"/>
          <w:sz w:val="14"/>
          <w:szCs w:val="14"/>
          <w:b w:val="1"/>
          <w:bCs w:val="1"/>
          <w:color w:val="auto"/>
        </w:rPr>
        <w:t>MADRS Response Rates</w:t>
      </w:r>
      <w:r>
        <w:rPr>
          <w:sz w:val="20"/>
          <w:szCs w:val="20"/>
          <w:color w:val="auto"/>
        </w:rPr>
        <w:tab/>
      </w:r>
      <w:r>
        <w:rPr>
          <w:rFonts w:ascii="Arial" w:cs="Arial" w:eastAsia="Arial" w:hAnsi="Arial"/>
          <w:sz w:val="13"/>
          <w:szCs w:val="13"/>
          <w:b w:val="1"/>
          <w:bCs w:val="1"/>
          <w:color w:val="auto"/>
        </w:rPr>
        <w:t>MADRS Remission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143510</wp:posOffset>
            </wp:positionV>
            <wp:extent cx="5093970" cy="75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939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 xml:space="preserve">Figure 5. </w:t>
      </w:r>
      <w:r>
        <w:rPr>
          <w:rFonts w:ascii="Arial" w:cs="Arial" w:eastAsia="Arial" w:hAnsi="Arial"/>
          <w:sz w:val="14"/>
          <w:szCs w:val="14"/>
          <w:color w:val="auto"/>
        </w:rPr>
        <w:t>MADRS categorical outcome assessments during the acute treatment phase.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23" w:name="page24"/>
    <w:bookmarkEnd w:id="23"/>
    <w:p>
      <w:pPr>
        <w:ind w:left="2020"/>
        <w:spacing w:after="0"/>
        <w:tabs>
          <w:tab w:leader="none" w:pos="6220" w:val="left"/>
        </w:tabs>
        <w:rPr>
          <w:sz w:val="20"/>
          <w:szCs w:val="20"/>
          <w:color w:val="auto"/>
        </w:rPr>
      </w:pPr>
      <w:r>
        <w:rPr>
          <w:rFonts w:ascii="Arial" w:cs="Arial" w:eastAsia="Arial" w:hAnsi="Arial"/>
          <w:sz w:val="14"/>
          <w:szCs w:val="14"/>
          <w:b w:val="1"/>
          <w:bCs w:val="1"/>
          <w:color w:val="auto"/>
        </w:rPr>
        <w:t>HAMD17 Response Rates</w:t>
      </w:r>
      <w:r>
        <w:rPr>
          <w:sz w:val="20"/>
          <w:szCs w:val="20"/>
          <w:color w:val="auto"/>
        </w:rPr>
        <w:tab/>
      </w:r>
      <w:r>
        <w:rPr>
          <w:rFonts w:ascii="Arial" w:cs="Arial" w:eastAsia="Arial" w:hAnsi="Arial"/>
          <w:sz w:val="13"/>
          <w:szCs w:val="13"/>
          <w:b w:val="1"/>
          <w:bCs w:val="1"/>
          <w:color w:val="auto"/>
        </w:rPr>
        <w:t>HAMD17 Remission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5093970" cy="771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939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 xml:space="preserve">Figure 6. </w:t>
      </w:r>
      <w:r>
        <w:rPr>
          <w:rFonts w:ascii="Arial" w:cs="Arial" w:eastAsia="Arial" w:hAnsi="Arial"/>
          <w:sz w:val="14"/>
          <w:szCs w:val="14"/>
          <w:color w:val="auto"/>
        </w:rPr>
        <w:t>HAMD17 categorical outcome assessments during the acute treatment phase.</w:t>
      </w:r>
    </w:p>
    <w:p>
      <w:pPr>
        <w:spacing w:after="0" w:line="204" w:lineRule="exact"/>
        <w:rPr>
          <w:sz w:val="20"/>
          <w:szCs w:val="20"/>
          <w:color w:val="auto"/>
        </w:rPr>
      </w:pPr>
    </w:p>
    <w:p>
      <w:pPr>
        <w:ind w:left="2020"/>
        <w:spacing w:after="0"/>
        <w:tabs>
          <w:tab w:leader="none" w:pos="6220" w:val="left"/>
        </w:tabs>
        <w:rPr>
          <w:sz w:val="20"/>
          <w:szCs w:val="20"/>
          <w:color w:val="auto"/>
        </w:rPr>
      </w:pPr>
      <w:r>
        <w:rPr>
          <w:rFonts w:ascii="Arial" w:cs="Arial" w:eastAsia="Arial" w:hAnsi="Arial"/>
          <w:sz w:val="14"/>
          <w:szCs w:val="14"/>
          <w:b w:val="1"/>
          <w:bCs w:val="1"/>
          <w:color w:val="auto"/>
        </w:rPr>
        <w:t>HAMD24 Response Rates</w:t>
      </w:r>
      <w:r>
        <w:rPr>
          <w:sz w:val="20"/>
          <w:szCs w:val="20"/>
          <w:color w:val="auto"/>
        </w:rPr>
        <w:tab/>
      </w:r>
      <w:r>
        <w:rPr>
          <w:rFonts w:ascii="Arial" w:cs="Arial" w:eastAsia="Arial" w:hAnsi="Arial"/>
          <w:sz w:val="13"/>
          <w:szCs w:val="13"/>
          <w:b w:val="1"/>
          <w:bCs w:val="1"/>
          <w:color w:val="auto"/>
        </w:rPr>
        <w:t>HAMD24 Remission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143510</wp:posOffset>
            </wp:positionV>
            <wp:extent cx="5093970" cy="771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939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 xml:space="preserve">Figure 7. </w:t>
      </w:r>
      <w:r>
        <w:rPr>
          <w:rFonts w:ascii="Arial" w:cs="Arial" w:eastAsia="Arial" w:hAnsi="Arial"/>
          <w:sz w:val="14"/>
          <w:szCs w:val="14"/>
          <w:color w:val="auto"/>
        </w:rPr>
        <w:t>HAMD24 categorical outcome assessments during the acute treatment phase.</w:t>
      </w:r>
    </w:p>
    <w:p>
      <w:pPr>
        <w:spacing w:after="0" w:line="21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NeuroStar Advanced Therapy System received marketing authorization from the FDA in 2008 based on the results of this initial registration trial. The FDA review determined that statistical significance for the primary outcome measure was obtained for the patients in that portion of the study population (N=164) who had failed to benefit from one prior research grade antidepressant medication treatment trial (MADRS, P=0.0006). The original FDA-authorized indication for use in MDD based on this trial was for adult patients who failed to benefit from one prior antidepressant medication in the current episode.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NIMH-Sponsored Randomized Controlled Trial—the Optimization of TMS, or OPT-TMS Study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U.S. NIMH sponsored a prospective, multisite, randomized, sham-controlled trial at four U.S. study sites that enrolled 199 patients from October 2004 through March 2009 to evaluate the safety and efficacy of NeuroStar Advanced Therapy in patients who met DSM-IV criteria for MDD, with at least a moderate level of treatment resistance to at least one and up to four complete antidepressant medication trials. Patients were randomly allocated 1:1 to either active NeuroStar Advanced Therapy or sham-controlled TMS. The primary efficacy endpoint of this trial was remission, measured using the 24-item HAMD scale. The trial design consisted of three phases: a two week no treatment lead-in phase, a three-week fixed-treatment phase of daily TMS sessions scheduled in a 5-day sequence, for a maximum of 15 sessions during which NeuroStar Advanced Therapy was given in the active treatment arm as a monotherapy in antidepressant medication-free patients and a variable, three-week treatment continuation for clinical improvers.</w:t>
      </w:r>
    </w:p>
    <w:p>
      <w:pPr>
        <w:spacing w:after="0" w:line="167"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Results from the trial demonstrated that for the entire treatment resistant patient population, for the primary analysis of remission, there was a statistically significant effect of daily NeuroStar Advanced Therapy as monotherapy (odds ratio, 4.2; 95% confidence interval, 1.32–13.24; P=0.02). There were</w:t>
      </w:r>
    </w:p>
    <w:p>
      <w:pPr>
        <w:spacing w:after="0" w:line="273" w:lineRule="auto"/>
        <w:rPr>
          <w:sz w:val="20"/>
          <w:szCs w:val="20"/>
          <w:color w:val="auto"/>
        </w:rPr>
      </w:pPr>
      <w:r>
        <w:rPr>
          <w:rFonts w:ascii="Arial" w:cs="Arial" w:eastAsia="Arial" w:hAnsi="Arial"/>
          <w:sz w:val="17"/>
          <w:szCs w:val="17"/>
          <w:color w:val="auto"/>
        </w:rPr>
        <w:t>18 remitters (N=13 or 14.1% in the active therapy and N=5 or 5.1% in the sham-controlled TMS treatment groups). NeuroStar Advanced Therapy was well tolerated, with no difference in adverse events between the active therapy and sham-controlled TMS treatment groups. Discontinuation specifically because of side effects was 5.4% in the active therapy treatment group. These results indicate that the likelihood of achieving remission using the NeuroStar Advanced Therapy System increased by more than four times when compared to sham-control TMS, which is clinically meaningful.</w:t>
      </w:r>
    </w:p>
    <w:p>
      <w:pPr>
        <w:spacing w:after="0" w:line="1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results of this clinical trial became available after we received our original marketing authorization in 2008. We submitted the clinical data from this trial to the FDA and received a new FDA 510(k) clearance in 2014 that expanded our original indication to adult patients who have failed to benefit from one or more prior antidepressant medications in the current episode of MDD.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Acute Efficacy and Long-Term Durability in Real-World Clinical Settings Study</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acute efficacy of treatment with the NeuroStar Advanced Therapy System was evaluated in a prospective, multisite, naturalistic, observational trial at 42 U.S. study sites that enrolled 307 patients from 2010 through 2012 to evaluate the effectiveness of NeuroStar Advanced Therapy in real-world clinical practice settings in patients who met DSM-IV criteria for MDD. The mean patient age was 48.6 years and the mean number of medication trials in the current episode that were of adequate dose and duration was 2.5, indicating a treatment resistant population of patients with MDD. Outcome assessments were obtained at baseline, week two, at the point of maximal acute treatment benefit and at week six in cases where the acute course of TMS therapy extended beyond six weeks. This naturalistic study design permitted patients to continue concurrent antidepressant medications during treatment with NeuroStar Advanced Therapy if they were directed to do so by the prescribing psychiatrist. The primary efficacy endpoint of this trial was the change from baseline to endpoint on the CGI-S. Secondary outcome measures included baseline to endpoint change on the PHQ-9.</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average number of NeuroStar Advanced Therapy treatment sessions across the acute phase was 28.3 (standard deviation: 10.1). Results from the trial demonstrated that there was a statistically significant mean change in depression severity from baseline to end of treatment on the CGI-S (-1.9 ± 1.4, P&lt;0.0001) and for the PHQ-9 (-8.7 ± 7.2, P&lt;0.0001). Clinician-assessed response rate for CGI-S was 58.0% and the remission rate was 37.1%, as shown in Figure 8. Patient-reported outcomes measured using the PHQ-9 was 56.4% for response, and 28.7% for remission, as shown in Figure 9. Notably, the outcomes were consistent across patients with both low and high grades of treatment resistance. Patients with low treatment resistance had been treated without success with one antidepressant medication in their current illness episode and patients with high grades of treatment resistance had been treated with two or more antidepressants without benefit. These results further support NeuroStar Advanced Therapy as an effective therapy for those who have failed to benefit from antidepressant medication.</w:t>
      </w:r>
    </w:p>
    <w:p>
      <w:pPr>
        <w:spacing w:after="0" w:line="157" w:lineRule="exact"/>
        <w:rPr>
          <w:sz w:val="20"/>
          <w:szCs w:val="20"/>
          <w:color w:val="auto"/>
        </w:rPr>
      </w:pPr>
    </w:p>
    <w:p>
      <w:pPr>
        <w:ind w:left="3060"/>
        <w:spacing w:after="0"/>
        <w:tabs>
          <w:tab w:leader="none" w:pos="7320" w:val="left"/>
        </w:tabs>
        <w:rPr>
          <w:sz w:val="20"/>
          <w:szCs w:val="20"/>
          <w:color w:val="auto"/>
        </w:rPr>
      </w:pPr>
      <w:r>
        <w:rPr>
          <w:rFonts w:ascii="Arial" w:cs="Arial" w:eastAsia="Arial" w:hAnsi="Arial"/>
          <w:sz w:val="14"/>
          <w:szCs w:val="14"/>
          <w:b w:val="1"/>
          <w:bCs w:val="1"/>
          <w:color w:val="auto"/>
        </w:rPr>
        <w:t>CGI-S Outcomes</w:t>
      </w:r>
      <w:r>
        <w:rPr>
          <w:sz w:val="20"/>
          <w:szCs w:val="20"/>
          <w:color w:val="auto"/>
        </w:rPr>
        <w:tab/>
      </w:r>
      <w:r>
        <w:rPr>
          <w:rFonts w:ascii="Arial" w:cs="Arial" w:eastAsia="Arial" w:hAnsi="Arial"/>
          <w:sz w:val="13"/>
          <w:szCs w:val="13"/>
          <w:b w:val="1"/>
          <w:bCs w:val="1"/>
          <w:color w:val="auto"/>
        </w:rPr>
        <w:t>PHQ-9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143510</wp:posOffset>
            </wp:positionV>
            <wp:extent cx="5282565" cy="1029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2565" cy="10293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00"/>
        <w:spacing w:after="0" w:line="297" w:lineRule="auto"/>
        <w:rPr>
          <w:sz w:val="20"/>
          <w:szCs w:val="20"/>
          <w:color w:val="auto"/>
        </w:rPr>
      </w:pPr>
      <w:r>
        <w:rPr>
          <w:rFonts w:ascii="Arial" w:cs="Arial" w:eastAsia="Arial" w:hAnsi="Arial"/>
          <w:sz w:val="13"/>
          <w:szCs w:val="13"/>
          <w:b w:val="1"/>
          <w:bCs w:val="1"/>
          <w:color w:val="auto"/>
        </w:rPr>
        <w:t xml:space="preserve">Figure 8. </w:t>
      </w:r>
      <w:r>
        <w:rPr>
          <w:rFonts w:ascii="Arial" w:cs="Arial" w:eastAsia="Arial" w:hAnsi="Arial"/>
          <w:sz w:val="13"/>
          <w:szCs w:val="13"/>
          <w:color w:val="auto"/>
        </w:rPr>
        <w:t>Categorical CGI-S response and remission outcomes—</w:t>
      </w:r>
      <w:r>
        <w:rPr>
          <w:rFonts w:ascii="Arial" w:cs="Arial" w:eastAsia="Arial" w:hAnsi="Arial"/>
          <w:sz w:val="13"/>
          <w:szCs w:val="13"/>
          <w:b w:val="1"/>
          <w:bCs w:val="1"/>
          <w:color w:val="auto"/>
        </w:rPr>
        <w:t xml:space="preserve"> </w:t>
      </w:r>
      <w:r>
        <w:rPr>
          <w:rFonts w:ascii="Arial" w:cs="Arial" w:eastAsia="Arial" w:hAnsi="Arial"/>
          <w:sz w:val="13"/>
          <w:szCs w:val="13"/>
          <w:color w:val="auto"/>
        </w:rPr>
        <w:t>stratified by baseline level of treatment resistance (low versus high).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40"/>
        <w:spacing w:after="0" w:line="342" w:lineRule="auto"/>
        <w:rPr>
          <w:sz w:val="20"/>
          <w:szCs w:val="20"/>
          <w:color w:val="auto"/>
        </w:rPr>
      </w:pPr>
      <w:r>
        <w:rPr>
          <w:rFonts w:ascii="Arial" w:cs="Arial" w:eastAsia="Arial" w:hAnsi="Arial"/>
          <w:sz w:val="12"/>
          <w:szCs w:val="12"/>
          <w:b w:val="1"/>
          <w:bCs w:val="1"/>
          <w:color w:val="auto"/>
        </w:rPr>
        <w:t xml:space="preserve">Figure 9. </w:t>
      </w:r>
      <w:r>
        <w:rPr>
          <w:rFonts w:ascii="Arial" w:cs="Arial" w:eastAsia="Arial" w:hAnsi="Arial"/>
          <w:sz w:val="12"/>
          <w:szCs w:val="12"/>
          <w:color w:val="auto"/>
        </w:rPr>
        <w:t>Categorical PHQ-9 response and remission outcomes—</w:t>
      </w:r>
      <w:r>
        <w:rPr>
          <w:rFonts w:ascii="Arial" w:cs="Arial" w:eastAsia="Arial" w:hAnsi="Arial"/>
          <w:sz w:val="12"/>
          <w:szCs w:val="12"/>
          <w:b w:val="1"/>
          <w:bCs w:val="1"/>
          <w:color w:val="auto"/>
        </w:rPr>
        <w:t xml:space="preserve"> </w:t>
      </w:r>
      <w:r>
        <w:rPr>
          <w:rFonts w:ascii="Arial" w:cs="Arial" w:eastAsia="Arial" w:hAnsi="Arial"/>
          <w:sz w:val="12"/>
          <w:szCs w:val="12"/>
          <w:color w:val="auto"/>
        </w:rPr>
        <w:t>stratified by baseline level of treatment resistance (low vs. high).</w:t>
      </w:r>
    </w:p>
    <w:p>
      <w:pPr>
        <w:spacing w:after="0" w:line="128" w:lineRule="exact"/>
        <w:rPr>
          <w:sz w:val="20"/>
          <w:szCs w:val="20"/>
          <w:color w:val="auto"/>
        </w:rPr>
      </w:pPr>
    </w:p>
    <w:p>
      <w:pPr>
        <w:sectPr>
          <w:pgSz w:w="11900" w:h="16838" w:orient="portrait"/>
          <w:cols w:equalWidth="0" w:num="2">
            <w:col w:w="5440" w:space="400"/>
            <w:col w:w="5540"/>
          </w:cols>
          <w:pgMar w:left="240" w:top="665" w:right="279" w:bottom="1440" w:gutter="0" w:footer="0" w:header="0"/>
          <w:type w:val="continuous"/>
        </w:sectPr>
      </w:pPr>
    </w:p>
    <w:p>
      <w:pPr>
        <w:ind w:right="40"/>
        <w:spacing w:after="0" w:line="297" w:lineRule="auto"/>
        <w:rPr>
          <w:sz w:val="20"/>
          <w:szCs w:val="20"/>
          <w:color w:val="auto"/>
        </w:rPr>
      </w:pPr>
      <w:r>
        <w:rPr>
          <w:rFonts w:ascii="Arial" w:cs="Arial" w:eastAsia="Arial" w:hAnsi="Arial"/>
          <w:sz w:val="16"/>
          <w:szCs w:val="16"/>
          <w:color w:val="auto"/>
        </w:rPr>
        <w:t>The long-term durability of the clinical effect resulting from treatment with NeuroStar Advanced Therapy was also studied as part of this report over 12 months of follow-up. In the long-term phase, 257 patients who had participated in the acute treatment outcomes entered into long-term follow-up where their treatment outcomes were monitored over the next twelve months. This trial was conducted between March 2010 and August 2012. Clinical assessments using the CGI-S and the PHQ-9 were obtained at three, six, nine, and 12 months. A total of 205 patients provided data across the entire12-month trial period. Concurrent medication use and NeuroStar Advanced Therapy reintroduction were allowed for recurrent symptoms and were recorded during the long-term follow-up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type w:val="continuous"/>
        </w:sectPr>
      </w:pPr>
    </w:p>
    <w:bookmarkStart w:id="25" w:name="page26"/>
    <w:bookmarkEnd w:id="25"/>
    <w:p>
      <w:pPr>
        <w:spacing w:after="0" w:line="293" w:lineRule="auto"/>
        <w:rPr>
          <w:sz w:val="20"/>
          <w:szCs w:val="20"/>
          <w:color w:val="auto"/>
        </w:rPr>
      </w:pPr>
      <w:r>
        <w:rPr>
          <w:rFonts w:ascii="Arial" w:cs="Arial" w:eastAsia="Arial" w:hAnsi="Arial"/>
          <w:sz w:val="16"/>
          <w:szCs w:val="16"/>
          <w:color w:val="auto"/>
        </w:rPr>
        <w:t>Compared with baseline scores obtained prior to acute TMS treatment, the statistically significant reduction in mean standard deviation CGI-S and PHQ-9 total scores at the end of acute TMS treatment were sustained throughout the 12-month follow-up period (end of 12 months follow-up: CGI-S 2.8 and PHQ-9 8.6, both P&lt;0.0001). The proportion of patients who achieved remission at the conclusion of acute TMS treatment remained similar to that observed following the conclusion of the long-term follow-up phase: CGI-S (total score 1 or 2), 41.2% (end of acute) and 45.1% (end of long-term), as shown in Figure 10; PHQ-9 (total score &lt; 5), 31.1% (end of acute) and 37.0% (end of long-term). These results demonstrate that NeuroStar Advanced Therapy provides a sustained durability of effect over 12 months of follow-up in a patient population receiving minimal to no benefit with antidepressant medications.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CGI-S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135255</wp:posOffset>
            </wp:positionV>
            <wp:extent cx="2529840" cy="909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10. </w:t>
      </w:r>
      <w:r>
        <w:rPr>
          <w:rFonts w:ascii="Arial" w:cs="Arial" w:eastAsia="Arial" w:hAnsi="Arial"/>
          <w:sz w:val="14"/>
          <w:szCs w:val="14"/>
          <w:color w:val="auto"/>
        </w:rPr>
        <w:t>Categorical CGI-S response and remission outcomes during long-term follow-up phase.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Outcome Registry</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2016, we launched our voluntary outcome registry to measure and record the outcomes of MDD patients treated with our NeuroStar Advanced Therapy System. Since inception, we have recorded results for over 1,500 patients at approximately 50 treatment facilities. For the patients treated with our products who completed self-evaluations, such as PHQ-9, and have had their results submitted to the registry, our data indicates remission and response rates of 32% and 62%, respectively. For the more than 600 patients treated with our products who have been evaluated using an observer-dependent interview, such as CGI-S, and have had their results submitted to the registry, our data indicates remission and response rates of 53% and 75%, respectively. Although we believe that these results demonstrate the potential of our products to treat patients with MDD, our registry is voluntary and only a portion of psychiatrists using our products have reported their outcomes. Therefore, these results may not be representative of response and remission rates for all MDD patients treated with our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 Team and Psychiatrist Training</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December 31, 2018, our sales and customer support team consisted of 133 employees working collaboratively across the following departments: 96 sales, 6 marketing, 22 field service and customer support, and 9 reimbursement. Additionally, our clinical team consisted of 7 employees.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Marketing—United States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commercialization team selectively markets and sells the NeuroStar Advanced Therapy System and recurring treatment sessions in the United States. Our primary focus is on selling to psychiatrists, with primary care physicians and pain management specialists representing a small percentage of our customer base. We target approximately 3,600 high-decile psychiatric practices, who we estimate, based on data from Symphony Health and our own internal estimates, treat approximately 33% of MDD patients who meet our labeled indication and are insured. We target these practices by the number of psychiatrists within their practices, the number of patients they treat and their acceptance of commercial insurance and Medicare. We believe that our psychiatrist targeting strategy makes for a well-defined customer base that is accessible by our direct sales organization.</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structured our sales and customer support team with specialized roles to sell our NeuroStar Advanced Therapy Systems and recurring treatment sessions, while delivering customer service at each stage of the implementation process. Our business development managers are responsible for identifying key customer prospects, educating them on the value of NeuroStar Advanced Therapy System, gaining their commitment for capital placement and introducing our clinical practice consultants. Our clinical practice consultants enhance the operational experience for providers and drive implementation of the NeuroStar Advanced Therapy System into our customers’ practices. We created the role of clinical training consultant to partner with our psychiatrist providers to conduct initial and ongoing on-site clinical training to ensure clinical and practice success.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Practice Management Support and Psychiatrist Training—United States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clinical practice consultants play a pivotal role in ensuring the success of our customers as they implement a new service line into their practice. In the early stages of implementation, they help the practice set goals, educate on the types of patients that can benefit from our therapy and assist in preparing the office work flow and staffing needs. As the office prepares to begin scheduling consults, the clinical practice consultants will train the office staff on how to talk with patients about TMS and how to use patient educational tools such as presentations, videos and starter kits. Once the practice begins treating patients, they will educate the psychiatrist on how to track clinical outcomes, interpret data and how to effectively convey results to existing and potential patients and referring physicians. Our clinical practice consultants also work with our customers to increase awareness with referring physicians and develop external marketing tactics. Our dedicated reimbursement managers help each practice navigate all issues regarding the reimbursement process including investigation of benefits, prior authorizations and claims documentation. This group has assisted our customers to conduct over 31,000 benefit investigations.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Psychiatrists and staff training on the NeuroStar Advanced Therapy System is a key to success within each practice. Our clinical training consultants take the burden of clinical training off our clinical practice consultants and provide a dedicated training resource to each customer. Clinical training consultants conduct at least a three-day, hands on training course that is scheduled after system installation at each practice and also provide ongoing advanced on-site clinical training.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Field Support—United States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field service engineers are responsible for maintenance, repairs and installation of upgrades. We provide a 24/7 support hotline to respond to medical information inquiries and technical questions that arise in all time zones. We pledge to have a field service engineer on-site within 24 hours of a service call. Because of the size and geographical coverage of our field service engineers and our standard 24-hour response time, NeuroStar Advanced Therapy Systems experience over 99% uptime, helping to ensure uninterrupted patient treatments.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 Japan, we have an exclusive distribution agreement with Teijin, for the commercialization of our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 with Teijin Pharma Limited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2017, we entered into a seven and a half year distribution agreement with Teijin Pharma Limited, or Teijin, for the exclusive distribution of our NeuroStar Advanced Therapy System to customers who will treat patients with MDD in Japan. Under the distribution agreement, Teijin is generally restricted from selling competing products in Japan. Our distribution agreement provides that we will have primary responsibility for obtaining reimbursement approval for use of NeuroStar Advanced Therapy System for the treatment of MDD in Japan, and Teijin will promote the sales of NeuroStar Advanced Therapy System for treatment of MDD in Japan. We have agreed to provide sales and technical support training to Teijin for our NeuroStar Advanced Therapy Systems.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Teijin is required to purchase minimum dollar values of NeuroStar Advanced Therapy Systems and treatment sessions from us following reimbursement approval by the JMHLW, TMS treatment for MDD (or, if such approval requires certified training on the NeuroStar Advanced Therapy System by a third party, then upon the first psychiatrist being issued his or her training certification). In April 2018, we were approved to submit reimbursement dossiers to the JMHLW.</w:t>
      </w:r>
    </w:p>
    <w:p>
      <w:pPr>
        <w:spacing w:after="0" w:line="18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2017, under our distribution agreement with Teijin, we received an upfront payment of $0.75 million and a milestone payment of $2.0 million following JMHLW’s approval of marketing the NeuroStar Advanced Therapy System for the treatment of MDD in Japan. These upfront and milestone payments have been deferred and are being recognized as revenue over the seven and one half year term of the agreement. Teijin is required to pay us a milestone payment tied to JMHLW issuing reimbursement for use of our products for the treatment of MDD in Japan.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ind w:right="100"/>
        <w:spacing w:after="0" w:line="255" w:lineRule="auto"/>
        <w:rPr>
          <w:sz w:val="20"/>
          <w:szCs w:val="20"/>
          <w:color w:val="auto"/>
        </w:rPr>
      </w:pPr>
      <w:r>
        <w:rPr>
          <w:rFonts w:ascii="Arial" w:cs="Arial" w:eastAsia="Arial" w:hAnsi="Arial"/>
          <w:sz w:val="18"/>
          <w:szCs w:val="18"/>
          <w:color w:val="auto"/>
        </w:rPr>
        <w:t>The distribution agreement is scheduled to expire on March 31, 2025, subject to earlier termination if we or Teijin breach the agreement, Teijin fails to maintain distributor-level permits and approvals, Teijin fails to purchase from us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we cannot decline to renew the agreement if Teijin has purchased 100% of its sales forecasts over the term of the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If we are not successful in convincing others of the merits of our products or educating them on the use of our products, they may not use our products or use them effectively and we may be unable to increase our sales. Key competitive factors affecting the commercial success of the NeuroStar Advanced Therapy System and any other product candidates we may develop are likely to be efficacy, safety and tolerability profile, reliability, convenience of administration, price, treatment times, other indications outside of MDD and reimbursement.</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competitors that sell other forms of TMS therapy, including Brainsway, Magstim, MagVenture, CloudTMS and Nexstim, that compete directly with the NeuroStar Advanced Therapy System and have TMS therapy treatment times as short as 20, 37, three, 19 and 37 minutes, respectively.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products, such as antidepressant medications, for the treatment of psychiatric disorders.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our competitors may have greater financial resources or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products and services, to operate without infringing the proprietary rights of others, and to prevent others from infringing our proprietary rights. We rely on a combination of patents, trade secrets, copyrights and trademarks, as well as contractual protections, to establish and protect our intellectual property rights. We seek to protect our proprietary position by, among other things, filing patent applications in the United States and internationally. Our patent estate includes patents and applications with claims directed to our NeuroStar Advanced Therapy Systems and broader claims for potential future products and developments. On a worldwide basis, as of December 31, 2018, our patent estate included over 100 issued or allowed patents and pending patent applications for our products and novel design methods, manufacturing process, novel TMS devices and systems and future combination products that are mainly designed to treat psychiatric conditions or perform diagnostic procedures. In the United States, as of December 31, 2018, we owned or licensed 34 issued or allowed patents and eight patent applications filed that are directed to our TMS technology. Outside the United States, as of December 31, 2018, we owned or licensed 49 issued or allowed patents, 11 pending patent applications and one pending Patent Cooperation Treaty application.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line="293" w:lineRule="auto"/>
        <w:rPr>
          <w:sz w:val="20"/>
          <w:szCs w:val="20"/>
          <w:color w:val="auto"/>
        </w:rPr>
      </w:pPr>
      <w:r>
        <w:rPr>
          <w:rFonts w:ascii="Arial" w:cs="Arial" w:eastAsia="Arial" w:hAnsi="Arial"/>
          <w:sz w:val="16"/>
          <w:szCs w:val="16"/>
          <w:color w:val="auto"/>
        </w:rPr>
        <w:t>These U.S. issued patents are expected to remain in effect until between 2019 and 2035. Our core patents in the United States will not expire before 2024. Our non-U.S. patents are expected to remain in effect until between 2024 and 2035. Our worldwide intellectual property portfolio includes multiple pending patent applications relating to methods and apparatuses for the treatment of psychiatric health conditions in Australia, Canada, the European Union, Japan and the United States. Our patents and patent applications mainly relate to iron core technology, including materials, manufacturing methods, geometries, applications, and open core technologies, TMS design patents, including coil position, motor threshold level determination, contact sensing, and articulation arm designs, patient comfort, TMS support technologies and pulse monitoring, and potential next generation technologies.</w:t>
      </w:r>
    </w:p>
    <w:p>
      <w:pPr>
        <w:spacing w:after="0" w:line="165"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In some instances, we submit patent applications directly with the USPTO as provisional patent applications. Provisional applications for patents were designed to provide a lower-cost first patent filing in the United States. Corresponding non-provisional patent applications must be filed not later than</w:t>
      </w:r>
    </w:p>
    <w:p>
      <w:pPr>
        <w:spacing w:after="0" w:line="286" w:lineRule="auto"/>
        <w:rPr>
          <w:sz w:val="20"/>
          <w:szCs w:val="20"/>
          <w:color w:val="auto"/>
        </w:rPr>
      </w:pPr>
      <w:r>
        <w:rPr>
          <w:rFonts w:ascii="Arial" w:cs="Arial" w:eastAsia="Arial" w:hAnsi="Arial"/>
          <w:sz w:val="16"/>
          <w:szCs w:val="16"/>
          <w:color w:val="auto"/>
        </w:rPr>
        <w:t>12 months after the provisional application filing date. The corresponding non-provisional application benefits in that the priority date(s) of the patent application is/are the earlier provisional application filing date(s), and the patent term of the finally issued patent is calculated from the later non-provisional application filing date. This system allows us to obtain an early priority date, add material to the patent application(s) during the priority year, obtain a later start to the patent term and to delay prosecution costs, which may be useful in the event that we decide not to pursue examination in an application. We file U.S. non-provisional applications and Patent Cooperation Treaty, or PCT, applications that claim the benefit of the priority date of earlier filed provisional applications, when applicable. The PCT system allows a single application to be filed within 12 months of the original priority date of the patent application, and to designate all of the 152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all patent applications, we determine claiming strategy on a case-by-case basis. Advice of counsel and our business model and needs are always considered. We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The patent positions of medical device companies like ours are generally uncertain and involve complex legal, scientific and factual questions.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commercial success will also depend in part on not infringing the proprietary rights of third parties. In addition, we have licensed rights under proprietary technologies of third parties to develop, manufacture and commercialize specific aspects of our products and services. It is uncertain whether the issuance of any third party patent would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60"/>
        <w:spacing w:after="0" w:line="257" w:lineRule="auto"/>
        <w:rPr>
          <w:sz w:val="20"/>
          <w:szCs w:val="20"/>
          <w:color w:val="auto"/>
        </w:rPr>
      </w:pPr>
      <w:r>
        <w:rPr>
          <w:rFonts w:ascii="Arial" w:cs="Arial" w:eastAsia="Arial" w:hAnsi="Arial"/>
          <w:sz w:val="18"/>
          <w:szCs w:val="18"/>
          <w:color w:val="auto"/>
        </w:rPr>
        <w:t>require us to alter our development or commercial strategies, alter our processes, obtain licenses or cease certain activities. The expiration of patents or patent applications licensed from third parties or our breach of any license agreements or failure to obtain a license to proprietary rights that we may require to develop or commercialize our future technology may have a material adverse impact on us. If third parties prepare and file patent applications in the United States that also claim technology to which we have rights, we may have to participate in interference proceedings in the USPTO to determine priority of invention.</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further own trade secrets relating to our technology, and we maintain the confidentiality of proprietary information to protect aspects of our business that are not amenable to, or that we do not consider appropriate for, patent protection. We seek to protect our trade secrets and know-how by entering into confidentiality agreements with third-parties, consultants and employees who have access to such trade secrets and know-how.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In addition, we enter into employment agreements that require employees to assign to us any inventions, trade secrets or know-how that they develop while employed by us. Although we take steps to protect our proprietary information and trade secrets, including through agreements with our employees and consultants, these agreements may be breached, or third parties may independently develop substantially equivalent proprietary information and techniques or otherwise gain access to our trade secrets or disclose our technology. Thus, we may not be able to meaningfully protect our trade secrets. To the extent that our employees, consultants, scientific advisors or other contractors use intellectual property owned by others in their work for us, disputes may arise as to the rights in related or resulting know how and inventions.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comprehensive discussion of the risks related to our intellectual property, please see “Risk Factors—Risks Related to Intellectual Property.”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manage all aspects of product supply through our operations team based in Malvern, Pennsylvania. We outsource the manufacture of components and high level assemblies, which are produced and tested to our specifications. We rely on third party providers to provide components used in existing products and we expect to continue to do so for future products.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 Currently, we are engaged with Sparton Medical Systems to supply our console; Molex Incorporated to supply our SenStar Treatment Link; Paragon Micro to supply our computer systems as well as other companies to supply components of our chairs and treatment packs.</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order to mitigate against the risks related to a single-source of supply, we qualify alternative suppliers when possible, maximize the use of commercial, off the shelf components and materials, minimize specialized or proprietary manufacturing processes, and develop contingency plans for responding to disruptions, including maintaining adequate inventory of any critical components. To date, we have not experienced material delays in obtaining any of our components, nor has the ready supply of finished products to our customers or clinicians been adversely affected by component supply issues.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Payor Relations and Customer Support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 in the United States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of a medical device, which is utilized for in-office medical treatments, depends, in part, on the extent to which such treatments using that medical device will be covered by third-party payors, such as government health care programs, including Medicare and Medicaid private insurance and managed healthcare organizations. Even if a third-party payor covers a particular treatment, the resulting reimbursement payment rates may not be adequate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ind w:right="180"/>
        <w:spacing w:after="0" w:line="264" w:lineRule="auto"/>
        <w:rPr>
          <w:sz w:val="20"/>
          <w:szCs w:val="20"/>
          <w:color w:val="auto"/>
        </w:rPr>
      </w:pPr>
      <w:r>
        <w:rPr>
          <w:rFonts w:ascii="Arial" w:cs="Arial" w:eastAsia="Arial" w:hAnsi="Arial"/>
          <w:sz w:val="18"/>
          <w:szCs w:val="18"/>
          <w:color w:val="auto"/>
        </w:rPr>
        <w:t>cover a provider’s cost to purchase such medical device or ensure that purchase will be profitable for the provider. Additionally, patients who are treated in-office for a medical condition generally rely on third-party payors to reimburse all or part of the costs associated with the treatment and may be unwilling to undergo such treatment in the absence of coverage and adequate reimbursement.</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peer reviewed medical journals; and included in clinical practice guidelines.</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the United States, there is no uniform policy of coverage and reimbursement among third-party payors. Third-party payors often rely upon Medicare coverage policy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are made on a plan-by-plan basis. One payor’s determination to provide coverage for a specific treatment does not assure that other payors will also provide coverage, and adequate reimbursement.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federal government and state legislatures have continued to implement cost containment programs, including price controls and restrictions on coverage and reimbursement. Third-party payors are increasingly challenging the price, examining the medical necessity and reviewing the cost effectiveness of medical services. Adoption of price controls and cost containment measures, and adoption of more restrictive policies in jurisdictions with existing controls and measures, could further limit our net sales and results of operations.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Based on our estimates, over 65 major private insurers in the United States, including the top 25 largest private insurers, have coverage policies for reimbursement of NeuroStar Advanced Therapy, representing approximately 205 million covered lives or about 95% of the total payor covered lives in the United States. Treatments using NeuroStar Advanced Therapy are also eligible for reimbursement from Medicare, representing an additional 59 million covered lives in the United States as of January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products and our operations are subject to extensive regulation by the FDA and other federal and state authorities in the United States, as well as comparable authorities in foreign jurisdictions. Our products are subject to regulation as medical devices under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40"/>
        <w:spacing w:after="0" w:line="253" w:lineRule="auto"/>
        <w:rPr>
          <w:sz w:val="20"/>
          <w:szCs w:val="20"/>
          <w:color w:val="auto"/>
        </w:rPr>
      </w:pPr>
      <w:r>
        <w:rPr>
          <w:rFonts w:ascii="Arial" w:cs="Arial" w:eastAsia="Arial" w:hAnsi="Arial"/>
          <w:sz w:val="18"/>
          <w:szCs w:val="18"/>
          <w:color w:val="auto"/>
        </w:rPr>
        <w:t>portions of the quality systems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Our NeuroStar Advanced Therapy System is classified as a Class II medical device. We initially received marketing authorization of this device through the </w:t>
      </w:r>
      <w:r>
        <w:rPr>
          <w:rFonts w:ascii="Arial" w:cs="Arial" w:eastAsia="Arial" w:hAnsi="Arial"/>
          <w:sz w:val="17"/>
          <w:szCs w:val="17"/>
          <w:i w:val="1"/>
          <w:iCs w:val="1"/>
          <w:color w:val="auto"/>
        </w:rPr>
        <w:t xml:space="preserve">de novo </w:t>
      </w:r>
      <w:r>
        <w:rPr>
          <w:rFonts w:ascii="Arial" w:cs="Arial" w:eastAsia="Arial" w:hAnsi="Arial"/>
          <w:sz w:val="17"/>
          <w:szCs w:val="17"/>
          <w:color w:val="auto"/>
        </w:rPr>
        <w:t>classification process. Subsequently, we have cleared any changes made to our system through the 510(k) clearance process.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Marketing Clearance Pathway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procedure. This procedure allows a manufacturer whose novel device is automatically classified as Class III to request down-classification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We originally obtained marketing authorization for our system using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after receiving a not substantially equivalent determination following the submission of a 510(k) premarket notification. We have subsequently used the 510(k) clearance process to obtain authorization from the FDA for changes to our marketed system.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A clinical trial is typically required to support a PMA application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or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Marketed Devices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After a device receives 510(k) marketing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Post-Market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17" w:lineRule="exact"/>
        <w:rPr>
          <w:sz w:val="20"/>
          <w:szCs w:val="20"/>
          <w:color w:val="auto"/>
        </w:rPr>
      </w:pPr>
    </w:p>
    <w:p>
      <w:pPr>
        <w:ind w:left="1200" w:hanging="44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17" w:lineRule="exact"/>
        <w:rPr>
          <w:rFonts w:ascii="Arial" w:cs="Arial" w:eastAsia="Arial" w:hAnsi="Arial"/>
          <w:sz w:val="18"/>
          <w:szCs w:val="18"/>
          <w:color w:val="auto"/>
        </w:rPr>
      </w:pPr>
    </w:p>
    <w:p>
      <w:pPr>
        <w:ind w:left="1200" w:right="920" w:hanging="449"/>
        <w:spacing w:after="0" w:line="308"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38" w:lineRule="exact"/>
        <w:rPr>
          <w:rFonts w:ascii="Arial" w:cs="Arial" w:eastAsia="Arial" w:hAnsi="Arial"/>
          <w:sz w:val="17"/>
          <w:szCs w:val="17"/>
          <w:color w:val="auto"/>
        </w:rPr>
      </w:pPr>
    </w:p>
    <w:p>
      <w:pPr>
        <w:jc w:val="both"/>
        <w:ind w:left="1200" w:right="100" w:hanging="449"/>
        <w:spacing w:after="0" w:line="312"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38" w:lineRule="exact"/>
        <w:rPr>
          <w:rFonts w:ascii="Arial" w:cs="Arial" w:eastAsia="Arial" w:hAnsi="Arial"/>
          <w:sz w:val="16"/>
          <w:szCs w:val="16"/>
          <w:color w:val="auto"/>
        </w:rPr>
      </w:pPr>
    </w:p>
    <w:p>
      <w:pPr>
        <w:ind w:left="1200" w:right="52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efficacy or that would constitute a major change in intended use of one of our cleared devices;</w:t>
      </w:r>
    </w:p>
    <w:p>
      <w:pPr>
        <w:spacing w:after="0" w:line="62" w:lineRule="exact"/>
        <w:rPr>
          <w:rFonts w:ascii="Arial" w:cs="Arial" w:eastAsia="Arial" w:hAnsi="Arial"/>
          <w:sz w:val="18"/>
          <w:szCs w:val="18"/>
          <w:color w:val="auto"/>
        </w:rPr>
      </w:pPr>
    </w:p>
    <w:p>
      <w:pPr>
        <w:ind w:left="1200" w:right="300" w:hanging="449"/>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73" w:lineRule="exact"/>
        <w:rPr>
          <w:rFonts w:ascii="Arial" w:cs="Arial" w:eastAsia="Arial" w:hAnsi="Arial"/>
          <w:sz w:val="18"/>
          <w:szCs w:val="18"/>
          <w:color w:val="auto"/>
        </w:rPr>
      </w:pPr>
    </w:p>
    <w:p>
      <w:pPr>
        <w:ind w:left="1200" w:right="80" w:hanging="449"/>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3" w:lineRule="exact"/>
        <w:rPr>
          <w:rFonts w:ascii="Arial" w:cs="Arial" w:eastAsia="Arial" w:hAnsi="Arial"/>
          <w:sz w:val="18"/>
          <w:szCs w:val="18"/>
          <w:color w:val="auto"/>
        </w:rPr>
      </w:pPr>
    </w:p>
    <w:p>
      <w:pPr>
        <w:ind w:left="1200" w:right="24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62" w:lineRule="exact"/>
        <w:rPr>
          <w:rFonts w:ascii="Arial" w:cs="Arial" w:eastAsia="Arial" w:hAnsi="Arial"/>
          <w:sz w:val="18"/>
          <w:szCs w:val="18"/>
          <w:color w:val="auto"/>
        </w:rPr>
      </w:pPr>
    </w:p>
    <w:p>
      <w:pPr>
        <w:ind w:left="1200" w:right="44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62" w:lineRule="exact"/>
        <w:rPr>
          <w:rFonts w:ascii="Arial" w:cs="Arial" w:eastAsia="Arial" w:hAnsi="Arial"/>
          <w:sz w:val="18"/>
          <w:szCs w:val="18"/>
          <w:color w:val="auto"/>
        </w:rPr>
      </w:pPr>
    </w:p>
    <w:p>
      <w:pPr>
        <w:ind w:left="1200" w:right="20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62" w:lineRule="exact"/>
        <w:rPr>
          <w:sz w:val="20"/>
          <w:szCs w:val="20"/>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payors, federal and state healthcare laws and regulations are applicable to its business. In addition, a portion of our business is subject to the Health Insurance Portability and Accountability Act of 1996, or HIPAA, as a business associate of our covered entity customers. To provide our covered entity customers with services that involve the use or disclosure of PHI, we are required to enter into business associate agreements. As a business associate, we are also directly liable for compliance with HIPAA. The laws that may affect a medical device manufacturer’s ability to operate include, but are not limited to:</w:t>
      </w:r>
    </w:p>
    <w:p>
      <w:pPr>
        <w:spacing w:after="0" w:line="58" w:lineRule="exact"/>
        <w:rPr>
          <w:sz w:val="20"/>
          <w:szCs w:val="20"/>
          <w:color w:val="auto"/>
        </w:rPr>
      </w:pPr>
    </w:p>
    <w:p>
      <w:pPr>
        <w:ind w:left="1200" w:right="20" w:hanging="449"/>
        <w:spacing w:after="0" w:line="255"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intent standard under the federal Anti-Kickback Statute was amended by the Patient Protection and Affordable Care Act, or the PPACA, to a stricter standard such that a person or entity no longer needs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200" w:hanging="449"/>
        <w:spacing w:after="0" w:line="269"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such as the False Claims Act, or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companies have been prosecuted under the FCA in connection with alleged off-label promotion of devices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w:t>
      </w:r>
    </w:p>
    <w:p>
      <w:pPr>
        <w:spacing w:after="0" w:line="74" w:lineRule="exact"/>
        <w:rPr>
          <w:rFonts w:ascii="Arial" w:cs="Arial" w:eastAsia="Arial" w:hAnsi="Arial"/>
          <w:sz w:val="17"/>
          <w:szCs w:val="17"/>
          <w:color w:val="auto"/>
        </w:rPr>
      </w:pPr>
    </w:p>
    <w:p>
      <w:pPr>
        <w:ind w:left="1200" w:right="20" w:hanging="449"/>
        <w:spacing w:after="0" w:line="273"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left="1200" w:right="60" w:hanging="449"/>
        <w:spacing w:after="0" w:line="272" w:lineRule="auto"/>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w:t>
      </w:r>
    </w:p>
    <w:p>
      <w:pPr>
        <w:spacing w:after="0" w:line="69" w:lineRule="exact"/>
        <w:rPr>
          <w:rFonts w:ascii="Arial" w:cs="Arial" w:eastAsia="Arial" w:hAnsi="Arial"/>
          <w:sz w:val="17"/>
          <w:szCs w:val="17"/>
          <w:color w:val="auto"/>
        </w:rPr>
      </w:pPr>
    </w:p>
    <w:p>
      <w:pPr>
        <w:ind w:left="1200" w:hanging="449"/>
        <w:spacing w:after="0" w:line="293" w:lineRule="auto"/>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and</w:t>
      </w:r>
    </w:p>
    <w:p>
      <w:pPr>
        <w:spacing w:after="0" w:line="56" w:lineRule="exact"/>
        <w:rPr>
          <w:rFonts w:ascii="Arial" w:cs="Arial" w:eastAsia="Arial" w:hAnsi="Arial"/>
          <w:sz w:val="16"/>
          <w:szCs w:val="16"/>
          <w:color w:val="auto"/>
        </w:rPr>
      </w:pPr>
    </w:p>
    <w:p>
      <w:pPr>
        <w:ind w:left="1200" w:hanging="449"/>
        <w:spacing w:after="0" w:line="269" w:lineRule="auto"/>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penalties, including civil, criminal and administrative penalties, damages, fines, disgorgement,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United States Healthcare Reform</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United States, a number of legislative and regulatory proposals have been considered or enacted to change the healthcare system in ways that could affect a medical device manufacturer’s business. Among policy makers and payors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64" w:lineRule="exact"/>
        <w:rPr>
          <w:sz w:val="20"/>
          <w:szCs w:val="20"/>
          <w:color w:val="auto"/>
        </w:rPr>
      </w:pPr>
    </w:p>
    <w:p>
      <w:pPr>
        <w:ind w:left="1200" w:right="200" w:hanging="449"/>
        <w:spacing w:after="0" w:line="302" w:lineRule="auto"/>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46" w:lineRule="exact"/>
        <w:rPr>
          <w:rFonts w:ascii="Arial" w:cs="Arial" w:eastAsia="Arial" w:hAnsi="Arial"/>
          <w:sz w:val="16"/>
          <w:szCs w:val="16"/>
          <w:color w:val="auto"/>
        </w:rPr>
      </w:pPr>
    </w:p>
    <w:p>
      <w:pPr>
        <w:ind w:left="1200" w:right="80" w:hanging="449"/>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efficacy research in an effort to coordinate and develop such research;</w:t>
      </w:r>
    </w:p>
    <w:p>
      <w:pPr>
        <w:spacing w:after="0" w:line="62" w:lineRule="exact"/>
        <w:rPr>
          <w:rFonts w:ascii="Arial" w:cs="Arial" w:eastAsia="Arial" w:hAnsi="Arial"/>
          <w:sz w:val="18"/>
          <w:szCs w:val="18"/>
          <w:color w:val="auto"/>
        </w:rPr>
      </w:pPr>
    </w:p>
    <w:p>
      <w:pPr>
        <w:ind w:left="1200" w:right="260" w:hanging="449"/>
        <w:spacing w:after="0" w:line="342" w:lineRule="auto"/>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5" w:lineRule="exact"/>
        <w:rPr>
          <w:rFonts w:ascii="Arial" w:cs="Arial" w:eastAsia="Arial" w:hAnsi="Arial"/>
          <w:sz w:val="16"/>
          <w:szCs w:val="16"/>
          <w:color w:val="auto"/>
        </w:rPr>
      </w:pPr>
    </w:p>
    <w:p>
      <w:pPr>
        <w:ind w:left="1200" w:hanging="44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provisions of the PPACA have yet to be implemented, and there have been judicial and Congressional challenges to certain aspects of the PPACA, as well as recent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or the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The 2018 Appropriations Resolution delayed the implementation of certain PPACA-mandated fees, including, without limitation, the medical device excise tax. The Bipartisan Budget Act of 2018, or the BBA, among other things, amends the PPACA, effective January 1, 2019,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U.S. District Court Judge in the Northern District of Texas, or Texas District Court Judge, ruled that the individual mandate is a critical and inseverable feature of the PPACA, and therefore, because it was repealed as part of the Tax Act, the remaining provisions of the PPACA are invalid as well. While the Texas District Court Judge, as well as the Trump administration and CMS, have stated that the ruling will have no immediate effect, it is unclear how this decision, subsequent appeals, if any, and other efforts to repeal and replace the PPACA will impact the PPACA.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legislative amendments to the statute, including the Bipartisan Budget Act of 2018, will stay in effect through 2027 unless additional Congressional action is taken. On January 2, 2013, President Obama signed into law the American Taxpayer Relief Act of 2012, or the ATRA, which, among other things, further reduced Medicare payments to several types of providers and increased the statute of limitations period for the government to recover overpayments to providers from three to five years. In addition, the Medicare Access and CHIP Reauthorization Act of 2015, enacted on April 16, 2015, or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It is likely that additional state and federal healthcare reform measures will be adopted in the future, any of which could limit the amounts that federal and state governments will pay for healthcare products and services, which could result in reduced demand for a medical device manufacturer’s products or additional pricing pressure.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Japanese Regulation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Japan, medical devices must be approved prior to importation and commercial sale by the MHLW. The approval process identifies a Marketing Authorization Holder, or MAH, who is designated as the only authorized seller of products. Manufacturers of medical devices outside of Japan who do not operate through a Japanese entity are able to designate a MAH who will apply for product approval and take responsibility for the medical device as designated. The MHLW evaluates each device for safety and efficacy. As part of its approval process, the MHLW may require that the product be tested in Japanese laboratories. The approval process ranges in length and certain medical devices may require a longer review period for approval. Once a device is approved, the MHLW issues a Shonin to the MAH or designated MAH, thereby permitting such entity to import the device into Japan for sale.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After a device is approved for importation and commercial sale in Japan, the MHLW continues to monitor sales of approved products for compliance with labeling regulations, which prohibit promotion of devices for unapproved uses, and reporting regulations, which require reporting of product malfunctions, including serious injury or death caused by any approved device. Failure to comply with applicable regulatory requirements can result in enforcement action by the MHLW, which may include fines, injunctions, and civil penalties; recall or seizure of our products; operating restrictions; partial suspension or total shutdown of sales in Japan; or criminal prosecution.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2018, we had 191 employees, with 133 employees on our sales and customer support team, 33 in research and development, including clinical, regulatory and certain quality functions, 3 employees in operations and 22 employees in general and administrative. We have never had a work stoppage and none of our employees are covered by collective bargaining agreements or represented by a labor union. We believe our employee relations are good.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Delaware in April of 2003. Our principal executive offices are located at 3222 Phoenixville Pike, Malvern, Pennsylvania 19355, and our telephone number is (610) 640-4202. Our website address is www.neurostar.com. The information contained on, or accessible through, our website is not incorporated by reference into this Form 10-K, and you should not consider any information contained in, or that can be accessed through, our website as part of this 10-K or in deciding whether to purchase our common stock.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9" w:name="page40"/>
    <w:bookmarkEnd w:id="39"/>
    <w:p>
      <w:pPr>
        <w:spacing w:after="0"/>
        <w:tabs>
          <w:tab w:leader="none" w:pos="17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contained in this Annual Report on Form 10-K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may be unable to achieve or sustain profitability in the future.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incurred net losses since inception, including net losses of $24.1 million and $16.1 million for the years ended December 31, 2018 and 2017 respectively. As a result of ongoing losses, as of December 31, 2018, we had an accumulated deficit of $221.0 million. We expect to continue to incur significant sales and marketing, product development, regulatory and other expenses as we continue to expand our marketing efforts to increase adoption of our products and expand existing relationships with our customers, to obtain regulatory clearances or approvals for our products in additional countries and for additional indications, and to develop new products or add new features to our existing products. The net losses we incur may fluctuate significantly from quarter to quarter. We will need to generate significant additional revenues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sale of our NeuroStar Advanced Therapy System and treatment sessions to generate revenues.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present, we rely on the sale of our NeuroStar Advanced Therapy System and treatment sessions to generate revenues, and we expect to generate substantially all of our revenues in the foreseeable future from sales of these and any related products. Because the market for TMS therapy is still developing and contains a limited number of market participants, sales of our products could be negatively impacted by unfavorable market reactions to our or other TMS devices. If the use of our or other TMS therapies results in serious adverse events, or such products malfunction or are misused, patients and psychiatrists may attribute such negative events to TMS therapy generally, which may adversely affect market adoption of our products. Additionally, if patients undergoing treatment with a NeuroStar Advanced Therapy System perceive the benefits to be inadequate or adverse events too numerous or severe compared to the relevant rates of alternative TMS therapies or pharmaceutical options, it will be difficult to demonstrate the value of our NeuroStar Advanced Therapy System to patients and psychiatrists. As a result, demand for and the use of our NeuroStar Advanced Therapy System may decline or may not increase at the pace or to the levels we expect.</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coverage is unavailable or reimbursement from third-party payors for treatments using our products significantly declines, psychiatrists may be reluctant to use our products.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United States, sales of our products will depend, in part, on the extent to which the treatment sessions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Further, patients who are treated in-office for a medical condition generally rely on third-party payors to reimburse all or part of the costs associated with the treatment and may be unwilling to undergo such treatment in the absence of coverage and adequate reimbursement, or due to large annual deductibles associated with certain health insurance plans.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80"/>
        <w:spacing w:after="0" w:line="297" w:lineRule="auto"/>
        <w:rPr>
          <w:sz w:val="20"/>
          <w:szCs w:val="20"/>
          <w:color w:val="auto"/>
        </w:rPr>
      </w:pPr>
      <w:r>
        <w:rPr>
          <w:rFonts w:ascii="Arial" w:cs="Arial" w:eastAsia="Arial" w:hAnsi="Arial"/>
          <w:sz w:val="16"/>
          <w:szCs w:val="16"/>
          <w:color w:val="auto"/>
        </w:rPr>
        <w:t>In the United States, there is no uniform policy of coverage and reimbursement among third-party payors. Third-party payors often rely upon Medicare coverage policies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is made on a plan-by-plan basis. One payor’s determination to provide coverage for a specific treatment does not assure that other payors will also provide coverage, and adequate reimbursement.</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payors outside of the United States are not obtained, international sales of our products may not materialize or grow significantly.</w:t>
      </w:r>
    </w:p>
    <w:p>
      <w:pPr>
        <w:spacing w:after="0" w:line="171"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The marketability of our products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adequately train psychiatrists and other treatment providers on the safe and appropriate use of our products, we may be unable to achieve our expected growth.</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 is a learning process involved for treatment providers to become proficient in the use of our products, which requires us to spend considerable time and resources for training. It is critical to the success of our commercialization efforts to train a sufficient number of psychiatrists and to provide them with adequate, ongoing instruction and training in the use of our products. This training process generally requires psychiatrists to review and study product materials, engage in multi-day, hands-on training sessions for up to four hours a day and participate in a multi-day observational period prior to treating patients independently. This training process may also take longer than expected or be more complicated than the psychiatrists or their personnel are comfortable with and may therefore affect our ability to increase sales. Convincing psychiatrists to dedicate the time and energy necessary for adequate training is challenging, and we may not be successful in these efforts.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Psychiatrists and patients may be slow to adopt and use TMS therapies.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TMS therapy is an emerging treatment option for patients suffering from MDD. As a result, psychiatrist and patient awareness of TMS therapy as a treatment option for MDD, and experience with TMS therapies, is limited. Our success depends in large part on our ability to educate and train psychiatrist and patients, and successfully demonstrate the safety, tolerability, ease of use, efficacy, cost effectiveness and other merits of our NeuroStar Advanced Therapy System. We have been engaging in an active marketing campaign to raise awareness of our NeuroStar Advanced Therapy System and its benefits among psychiatrists, but we cannot assure you that these efforts will be successful or that they will not prove to be cost-prohibitive. Some psychiatrists may also find the initial patient set up and the subsequent procedures for future treatment sessions to be difficult or complicated, or could be wary of the initial investment required for the purchase of the NeuroStar Advanced Therapy System, which may impact their decision to purchase or use the NeuroStar Advanced Therapy System as part of their practice. Similarly, psychiatrists may find it difficult to hire additional staff, allocate sufficient space or operationalize our NeuroStar Advanced Therapy System, which could slow its adoption.</w:t>
      </w:r>
    </w:p>
    <w:p>
      <w:pPr>
        <w:spacing w:after="0" w:line="1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psychiatrists may not derive sufficient cash flow from using the NeuroStar Advanced Therapy Systems due to their own practice economics or otherwise. Failure to achieve economic benefits from the purchase or use of the NeuroStar Advanced Therapy System would adversely affect our customers’ purchase of treatment sessions. These factors could also reduce the number of procedures performed using our NeuroStar Advanced Therapy System, and if we do not facilitate the utilization of our products by our customers, our revenues and results of operations could be harmed.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success depends in part upon patient satisfaction with the effectiveness of our NeuroStar Advanced Therapy System.</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order to generate repeat and referral business, patients must be satisfied with the effectiveness of our NeuroStar Advanced Therapy System. Clinical studies demonstrate that, in order to be effective, our products must be used for a period of four to six weeks, and require a patient to return to a psychiatrist’s office five days a week during that period in order to receive the recommended course of treatment. Since patients who achieve response or remission using our therapy will obtain these results gradually over this treatment period, their perception of their results may vary depending on their compliance with the prescribed treatment course.</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train our psychiatrist customers to select the appropriate patient candidates for treatment using the NeuroStar Advanced Therapy System, explain to their patients the time-period over which the results from a treatment course can be expected to occur, and measure the success of treatments using medical guidelines. However, our psychiatrist customers may not select appropriate patient candidates for NeuroStar Advanced Therapy treatment, which may produce results that may not meet patients’ expectations. In addition, the efficacy of treatment is dependent on proper patient set up at the initial treatment session and duplication of that set up at future treatment sessions. To the extent psychiatrists do not make the proper measurements for a specific patient or use the same procedures at each treatment session, it could result in variability of the treatment efficacy and results for the patient. If patients are not satisfied with the results of our NeuroStar Advanced Therapy System, our reputation and future sales will suffer.</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sales and operating results may be negatively affected.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products that reach the market in a timely manner, to receive adequate coverage and reimbursement from third-party payors, and to successfully demonstrate to psychiatrists and patients the merits of our products compared to those of our competitors. If we are not successful in convincing others of the merits of our products, including in comparison to those of our competitors, or educating them on the use of our products, they may not use our products or use them effectively and we may be unable to increase our sales.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competitors that sell other forms of TMS therapy, including Brainsway, Magstim, MagVenture, CloudTMS and Nexstim, that compete directly with the NeuroStar Advanced Therapy System.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competitive products, such as antidepressant medications.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face difficulties encountered by companies in new and evolving markets.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assessing our prospects, you must consider the risks and difficulties frequently encountered by companies in new and evolving markets. These risks include our ability to:</w:t>
      </w:r>
    </w:p>
    <w:p>
      <w:pPr>
        <w:spacing w:after="0" w:line="62" w:lineRule="exact"/>
        <w:rPr>
          <w:sz w:val="20"/>
          <w:szCs w:val="20"/>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awareness of our brand and strengthen customer loyalty;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execute our business and marketing strategy;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products in development;</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clearance or approval to commercialize new products and enhance our existing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refrain from infringing on the intellectual property rights of others, and maintaining appropriate legal policies and procedures;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presence in existing and commence operations in new international markets;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qualified personnel.</w:t>
      </w:r>
    </w:p>
    <w:p>
      <w:pPr>
        <w:spacing w:after="0" w:line="33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expand our sales and customer support team and adequately address our customers’ needs, it could negatively impact sales and market acceptance of our products and we may never generate sufficient revenues to achieve or sustain profitability.</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are directly dependent upon the sales and marketing efforts of our sales and customer support team in the United States and our independent third-party distributors outside of the United States. If our employees or our independent distributors fail to adequately promote, market and sell our products, our sales could significantly decrease.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our future sales will largely depend on our ability to increase our marketing efforts and adequately address our customers’ needs. We believe it is necessary to expand our sales force, including by hiring additional sales representatives or distributors with specific technical backgrounds that can support our customers’ needs.</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we launch new products, expand our product offerings to new indications and increase our marketing efforts with respect to existing products,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loss of our senior management or our inability to attract and retain highly skilled executives, salespeople and product development personnel could negatively impact our business.</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success depends on the skills, experience and performance of the members of our executive management team. The individual and collective efforts of these employees will be important as we continue to develop our products and as we expand our commercial activities. We believe that it is challenging to identify individuals with the requisite skills to serve in many of our key positions, and the loss or incapacity of existing members of our executive management team could negatively impact our operations. We do not maintain key man life insurance on any of our employees. The existence of our Chief Executive Officer’s employment agreement does not guarantee our retention of our Chief Executive Officer for any period of time.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43" w:name="page44"/>
    <w:bookmarkEnd w:id="43"/>
    <w:p>
      <w:pPr>
        <w:ind w:right="40"/>
        <w:spacing w:after="0" w:line="272" w:lineRule="auto"/>
        <w:rPr>
          <w:sz w:val="20"/>
          <w:szCs w:val="20"/>
          <w:color w:val="auto"/>
        </w:rPr>
      </w:pPr>
      <w:r>
        <w:rPr>
          <w:rFonts w:ascii="Arial" w:cs="Arial" w:eastAsia="Arial" w:hAnsi="Arial"/>
          <w:sz w:val="17"/>
          <w:szCs w:val="17"/>
          <w:color w:val="auto"/>
        </w:rPr>
        <w:t>Our commercial, supply chain and research and development programs and operations depend on our ability to attract and retain highly skilled managers, salespeople and product development and customer training personnel. We may be unable to attract or retain qualified managers, salespeople or product development and customer training personnel in the future due to the competition for qualified personnel in the medical treatment and device fields.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286" w:lineRule="exact"/>
        <w:rPr>
          <w:sz w:val="20"/>
          <w:szCs w:val="20"/>
          <w:color w:val="auto"/>
        </w:rPr>
      </w:pPr>
    </w:p>
    <w:p>
      <w:pPr>
        <w:ind w:right="980"/>
        <w:spacing w:after="0" w:line="375" w:lineRule="auto"/>
        <w:rPr>
          <w:sz w:val="20"/>
          <w:szCs w:val="20"/>
          <w:color w:val="auto"/>
        </w:rPr>
      </w:pPr>
      <w:r>
        <w:rPr>
          <w:rFonts w:ascii="Arial" w:cs="Arial" w:eastAsia="Arial" w:hAnsi="Arial"/>
          <w:sz w:val="15"/>
          <w:szCs w:val="15"/>
          <w:b w:val="1"/>
          <w:bCs w:val="1"/>
          <w:i w:val="1"/>
          <w:iCs w:val="1"/>
          <w:color w:val="auto"/>
        </w:rPr>
        <w:t>Our long-term growth depends on our ability to commercialize our approved products for current and future indications and to develop and commercialize additional products through our research and development efforts. If we fail to do so we may be unable to compete effectively.</w:t>
      </w:r>
    </w:p>
    <w:p>
      <w:pPr>
        <w:spacing w:after="0" w:line="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order to increase our future revenues, we must successfully enhance our existing product offerings and introduce new products in response to changing customer demands and competitive pressures and technologies. Our industry is characterized by intense competition, including from lower-cost competitors, rapid technological changes, new product introductions and enhancements and evolving industry standards. We also face competition from large pharmaceutical companies with greater capital. Our business prospects depend in part on our ability to develop and commercialize new products and applications for our technology, including in new markets that develop as a result of technological, pharmaceutical and scientific advances, while improving the performance and cost-effectiveness of our products. New pharmaceutical products, technologies, techniques or other products could emerge that might offer better combinations of price and performance than our products. It is important that we anticipate changes in technology and market demand, as well as psychiatrist practices to successfully develop, obtain clearance or approval, if required, and successfully introduce new, enhanced and competitive technologies to meet our prospective customers’ needs on a timely and cost-effective basis.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might be unable to successfully further commercialize or develop or obtain regulatory clearances or approvals to market new products or our existing products for additional indications. For example, our NeuroStar Advanced Therapy System did not meet the primary endpoint in the initial phase of the clinical trial of adolescents with MDD. While we intend to complete the remaining phases of this clinical trial, in light of these results we are unlikely to seek clearance for this indication. Additionally, these products and any future products, even if cleared, might not be accepted by psychiatrists or the third-party payors who reimburse for the procedures performed with our products. The success of any new product offering or enhancement to an existing product will depend on numerous additional factors, including our ability to:</w:t>
      </w:r>
    </w:p>
    <w:p>
      <w:pPr>
        <w:spacing w:after="0" w:line="85" w:lineRule="exact"/>
        <w:rPr>
          <w:sz w:val="20"/>
          <w:szCs w:val="20"/>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demonstrate the benefits associated with the use or our products when compared to the products and devices of our competitors;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do not develop and obtain regulatory clearances or approvals for new products or indications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7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rely on single-source suppliers for some components used in our NeuroStar Advanced Therapy System, and we do not have long-term supply contracts with these suppliers. Furthermore, we rely on a single manufacturer for the assembly of the mobile console and patient positioning system used in our NeuroStar Advanced Therapy System. For us to be successful, our suppliers and contract manufacturer must be able to provide us with components in substantial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NeuroStar Advanced Therapy System. An interruption in our commercial operations could occur if we encounter delays or difficulties in securing these components or manufactured products, if we cannot obtain an acceptable substitute.</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transition to a new supplier or contract manufacturer could be time-consuming and expensive, may result in interruptions in our operations and product delivery, could affect the performance specifications of our NeuroStar Advanced Therapy System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our products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our NeuroStar Advanced Therapy System in a timely and cost-effective manner.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 which could make it difficult to execute our business strategy.</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been growing rapidly and have a relatively short history of operating as a commercial company. For example, our revenues grew from $40.4 million for the year ended December 31, 2017 to $52.8 million for the year ended December 31, 2018. 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Because our products require us to devote significant resources to training our customers on the use, and educating our customers on the benefits, of our products, we will be required to expand these personnel as we increase our sales efforts. We may not successfully implement these increases in scale or the expansion of our personnel, which could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500"/>
        <w:spacing w:after="0" w:line="277" w:lineRule="auto"/>
        <w:rPr>
          <w:sz w:val="20"/>
          <w:szCs w:val="20"/>
          <w:color w:val="auto"/>
        </w:rPr>
      </w:pPr>
      <w:r>
        <w:rPr>
          <w:rFonts w:ascii="Arial" w:cs="Arial" w:eastAsia="Arial" w:hAnsi="Arial"/>
          <w:sz w:val="18"/>
          <w:szCs w:val="18"/>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6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rely, and expect to rely in the future, on a network of third-party distributors to market and distribute our products in international markets. We currently sell our products in five countries outside of the United States and plan to market and sell our products through our exclusive distribution agreement in Japan once we attain reimbursement approval. We are assessing the opportunity to continue expanding into other international markets. We may face significant challenges and risks in managing a geographically dispersed distribution network. We have limited ability to control any third-party distributors. Our distributors may be unable to successfully market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our sales.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currently market and sell our products outside of the United States, including in Japan, and plan to market and sell our products through our exclusive distribution agreement in Japan. Once we attain satisfactory reimbursement approval, we expect that sales of our NeuroStar Advanced Therapy System in Japan will increase.</w:t>
      </w:r>
    </w:p>
    <w:p>
      <w:pPr>
        <w:spacing w:after="0" w:line="18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46" w:lineRule="exact"/>
        <w:rPr>
          <w:sz w:val="20"/>
          <w:szCs w:val="20"/>
          <w:color w:val="auto"/>
        </w:rPr>
      </w:pPr>
    </w:p>
    <w:p>
      <w:pPr>
        <w:ind w:left="1200" w:hanging="449"/>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 staffing and managing foreign and geographically dispersed operations, to the extent we establish non-U.S. operations;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attaining reimbursement under differing and multiple payor reimbursement regimes, government payors or patient self-pay systems;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117" w:lineRule="exact"/>
        <w:rPr>
          <w:rFonts w:ascii="Arial" w:cs="Arial" w:eastAsia="Arial" w:hAnsi="Arial"/>
          <w:sz w:val="18"/>
          <w:szCs w:val="18"/>
          <w:color w:val="auto"/>
        </w:rPr>
      </w:pPr>
    </w:p>
    <w:p>
      <w:pPr>
        <w:ind w:left="120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or the FCPA, and anti-money laundering laws;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117" w:lineRule="exact"/>
        <w:rPr>
          <w:rFonts w:ascii="Arial" w:cs="Arial" w:eastAsia="Arial" w:hAnsi="Arial"/>
          <w:sz w:val="18"/>
          <w:szCs w:val="18"/>
          <w:color w:val="auto"/>
        </w:rPr>
      </w:pPr>
    </w:p>
    <w:p>
      <w:pPr>
        <w:ind w:left="1200" w:right="40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62" w:lineRule="exact"/>
        <w:rPr>
          <w:rFonts w:ascii="Arial" w:cs="Arial" w:eastAsia="Arial" w:hAnsi="Arial"/>
          <w:sz w:val="18"/>
          <w:szCs w:val="18"/>
          <w:color w:val="auto"/>
        </w:rPr>
      </w:pPr>
    </w:p>
    <w:p>
      <w:pPr>
        <w:ind w:left="1200" w:right="24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1200" w:right="320" w:hanging="44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increases of withholding and other taxes on remittances and other payments by foreign subsidiaries or joint ventures;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armed conflicts or economic, political or social instability in foreign countries and regions;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200" w:right="400" w:hanging="44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of government subsidies or other incentives that benefit competitors in their local markets that are not available to us; and</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post-market surveillance on product performance.</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2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employees, consultants, distributors and other commercial partners may engage in misconduct or other improper activities, including non-compliance with regulatory standards and requirements.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rely in part on third parties to conduct our clinical trials. If these third parties fail to perform their duties on time or as expected, we may not be able to obtain regulatory approval for additional indications that we may seek for the NeuroStar Advanced Therapy System.</w:t>
      </w:r>
    </w:p>
    <w:p>
      <w:pPr>
        <w:spacing w:after="0" w:line="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clinical trials are managed by our own staff and personnel, but we rely in part upon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spacing w:after="0" w:line="272" w:lineRule="auto"/>
        <w:rPr>
          <w:sz w:val="20"/>
          <w:szCs w:val="20"/>
          <w:color w:val="auto"/>
        </w:rPr>
      </w:pPr>
      <w:r>
        <w:rPr>
          <w:rFonts w:ascii="Arial" w:cs="Arial" w:eastAsia="Arial" w:hAnsi="Arial"/>
          <w:sz w:val="17"/>
          <w:szCs w:val="17"/>
          <w:color w:val="auto"/>
        </w:rPr>
        <w:t>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approving a marketing application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in a specified indication.</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business exposes us to potential product liability claims that are inherent in the testing, manufacture and sale of medical devices for the treatment of MDD. Our treatments are designed for patients who suffer from significant psychiatric disorders, and these patients are more likely to experience significant adverse health outcomes, which could increase the risk of product liability lawsuits. Furthermore, if psychiatrists are not sufficiently trained in the use of our products, they may misuse or ineffectively use our products,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117" w:lineRule="exact"/>
        <w:rPr>
          <w:sz w:val="20"/>
          <w:szCs w:val="20"/>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new products or product candidates;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cybersecurity liability, employee benefits liability, property,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bear the risk of warranty claims on the products we supply for two years from the date of delivery. There can be no assurance that we will not face increased claims in the future.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for our TrakStar system and accounting, data storage, compliance, purchasing and inventory management. We do not have redundant systems at this time.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provide customers with data on patient outcomes, track the usage of our products, timely ship and track product orders, project inventory requirements, manage our supply chain and otherwise adequately service our customers or disrupt our customers’ ability to access patient data or use our products for treatments.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 Currently we carry business interruption coverage to mitigate any potential losses, but we cannot be certain that such potential losses will not exceed our policy limits.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right="180"/>
        <w:spacing w:after="0" w:line="264"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part of our business we receive and process information about our customers, partners and their patients, including protected health information, or PHI, and we may store or contract with third parties to store our customers’ data, including PHI. PHI, a subset of individually identifiable information, is regulated at the federal level by the Health Insurance Portability and Accountability Act, or HIPAA, as amended by the Health Information and Technology for Economic and Clinical Health Act of 2009, or HITECH, and by various laws at the state level, as more fully described below. We are required to safeguard PHI in accordance with HIPAA and, as a business associate, we are also directly liable for compliance with HIPAA.</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implemented security measures relating to our NeuroStar Advanced Therapy System and TrakStar database, specifically, and our operations, generally, those measures may not prevent security breaches that could harm our business. Advances in computer capabilities, inadequate technology or facility security measures or other factors may result in a compromise or breach of our systems and the data and PHI we store and process. Our security measures may be breached as a result of actions by third parties or employee error or malfeasance.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under HIPAA,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may, from time to time, bring lawsuits against us regarding injury, creating a hostile work 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our business could be negatively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The 2017 comprehensive tax reform law could adversely affect our business and financial condition.</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22, 2017, President Trump signed into law new legislation, (Pub. L. 115-97), commonly referred to as the Tax Cuts and Jobs Act of 2017, that significantly revises the Internal Revenue Code of 1986, as amended. The newly enacted federal income tax law, among other things, contains significant changes to corporate taxation, including the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vulnerable to interruption or loss due to natural or other disasters, power loss, strikes and other events beyond our control.</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 major earthquake, fire or other disaster, such as a major flood, seasonal storms,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or their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epidemic diseases could have a negative effect on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jc w:val="both"/>
        <w:ind w:right="420"/>
        <w:spacing w:after="0" w:line="286" w:lineRule="auto"/>
        <w:rPr>
          <w:sz w:val="20"/>
          <w:szCs w:val="20"/>
          <w:color w:val="auto"/>
        </w:rPr>
      </w:pPr>
      <w:r>
        <w:rPr>
          <w:rFonts w:ascii="Arial" w:cs="Arial" w:eastAsia="Arial" w:hAnsi="Arial"/>
          <w:sz w:val="17"/>
          <w:szCs w:val="17"/>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5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46" w:lineRule="exact"/>
        <w:rPr>
          <w:sz w:val="20"/>
          <w:szCs w:val="20"/>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1200" w:right="120" w:hanging="449"/>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accepted accounting principles in the United States, or U.S. GAAP, are subject to interpretation by the Financial Accounting Standards Board, or FASB, the U.S.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4. Recent Accounting Pronouncements” in our audited financial statements and related notes thereto included elsewhere in this Annual Report on Form 10-K.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sales volumes and our results of operations may fluctuate over the course of the year.</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experienced and may continue to experience meaningful variability in our sales and gross profit among quarters. A number of factors over which we have limited control, such as seasonal variations in revenues, may contribute to fluctuations in our financial results. In the first quarter, our results can be impacted by severe weather and by the resetting of annual U.S. patient healthcare insurance plan deductibles, which may cause delays in patients seeking NeuroStar Advanced Therapy treatments. Historically, we have seen a sequential decline in third quarter revenues, which we believe is attributable to summer vacation plans of psychiatrists and patients. In addition, the fourth quarter has consistently been a strong revenue quarter on a sequential basis primarily due to U.S. psychiatrists’ historical timing for capital expenditures and patients’ needs to exhaust remaining balances in flexible spending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we expect may contribute to variability in our sales and gross profit over the course of the year include:</w:t>
      </w:r>
    </w:p>
    <w:p>
      <w:pPr>
        <w:spacing w:after="0" w:line="117" w:lineRule="exact"/>
        <w:rPr>
          <w:sz w:val="20"/>
          <w:szCs w:val="20"/>
          <w:color w:val="auto"/>
        </w:rPr>
      </w:pPr>
    </w:p>
    <w:p>
      <w:pPr>
        <w:ind w:left="1200" w:hanging="44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growth or decline of our installed system base;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unpredictability of future sales by our international distributors, including through our exclusive distributor in Japan;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or failure to obtain regulatory clearances or approvals for other products, indications or treatments;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benefits and timing of new product introductions.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products, or product candidates, development and commercialization of our products and product candidates may be adversely affected.</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applied, and we intend to continue applying, for patents covering aspects of our technologies that we deem appropriate. However, the patent process is expensive and time consuming, and we may not be able to apply for patents on certain aspects of our current or future products and other technologies in a timely fashion, at a reasonable cost, in all jurisdictions, or at all, and any potential patent coverage we obtain may not be sufficient to prevent substantial competition.</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cannot offer any assurances about which, if any, of our patent applications will issue or whether any of our issued patents will be found invalid and unenforceable or will be threatened by third parties. Any patent applications we file may be challenged and may not result in issued patents or may be invalidated or narrowed in scope after they are issued. We also cannot provide any assurances that any of our patents have, or that any of our pending patent applications that mature into issued patents will include, claims with a scope sufficient to protect and provide exclusivity for our products, any additional features we develop for our products or any new products. 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Any successful opposition to these patents or any other patents owned by or, if applicable in the future, licensed to us could deprive us of rights necessary for the practice of our technologies or the successful commercialization of any products or product candidates that we may develop. Since patent applications in the US and most other countries are confidential for a period of time after filing, we cannot be certain that we or our licensors were the first to file any patent application related to our technologies, products, or product candidates. Furthermore, an interference proceeding can be provoked by a third party or instituted by the United States Patent and Trademark Office, or the USPTO, to determine who was the first to invent any of the subject matter covered by the patent claims of our applications for any application with an effective filing date before March 16, 2013.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ind w:right="100"/>
        <w:spacing w:after="0" w:line="270" w:lineRule="auto"/>
        <w:rPr>
          <w:sz w:val="20"/>
          <w:szCs w:val="20"/>
          <w:color w:val="auto"/>
        </w:rPr>
      </w:pPr>
      <w:r>
        <w:rPr>
          <w:rFonts w:ascii="Arial" w:cs="Arial" w:eastAsia="Arial" w:hAnsi="Arial"/>
          <w:sz w:val="17"/>
          <w:szCs w:val="17"/>
          <w:color w:val="auto"/>
        </w:rPr>
        <w:t>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Proceedings challenging our patents, which may continue for a protracted period of time,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alternative and possibly more effective technologies, designs or methods. We may be unable to prevent the unauthorized disclosure or use of our 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17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200" w:right="20" w:hanging="44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17" w:lineRule="exact"/>
        <w:rPr>
          <w:rFonts w:ascii="Arial" w:cs="Arial" w:eastAsia="Arial" w:hAnsi="Arial"/>
          <w:sz w:val="18"/>
          <w:szCs w:val="18"/>
          <w:color w:val="auto"/>
        </w:rPr>
      </w:pPr>
    </w:p>
    <w:p>
      <w:pPr>
        <w:ind w:left="1200" w:right="540" w:hanging="44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62" w:lineRule="exact"/>
        <w:rPr>
          <w:rFonts w:ascii="Arial" w:cs="Arial" w:eastAsia="Arial" w:hAnsi="Arial"/>
          <w:sz w:val="18"/>
          <w:szCs w:val="18"/>
          <w:color w:val="auto"/>
        </w:rPr>
      </w:pPr>
    </w:p>
    <w:p>
      <w:pPr>
        <w:ind w:left="1200" w:right="320" w:hanging="44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4" w:name="page55"/>
    <w:bookmarkEnd w:id="54"/>
    <w:p>
      <w:pPr>
        <w:ind w:left="1200" w:right="60" w:hanging="44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62" w:lineRule="exact"/>
        <w:rPr>
          <w:rFonts w:ascii="Arial" w:cs="Arial" w:eastAsia="Arial" w:hAnsi="Arial"/>
          <w:sz w:val="18"/>
          <w:szCs w:val="18"/>
          <w:color w:val="auto"/>
        </w:rPr>
      </w:pPr>
    </w:p>
    <w:p>
      <w:pPr>
        <w:ind w:left="1200" w:right="140" w:hanging="44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1200" w:right="20" w:hanging="449"/>
        <w:spacing w:after="0" w:line="308"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have a material adverse impact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protect our proprietary technologies could harm our competitive position.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our competitors have utilized and are expected to continue utilizing technologies similar to ours, our success will depend upon our ability to protect and continue to develop proprietary technologies and products and to defend any advantages afforded to us relative to our competitors. If we do not protect our intellectual property adequately, competitors may be able to use our technologies and thereby erode any competitive advantages we may have. For example, patents for our core technology will begin to expire in the United States in 2024, and our patents outside of the United States are expected to remain in effect until between 2024 and 2035. We will be able to protect our proprietary rights from unauthorized use by third parties only to the extent that our proprietary technologies are covered by valid and enforceable patents or are effectively maintained as trade secrets. We have agreements with our employees and selected consultants that obligate them to assign their inventions to us. If the employees and consultants who are parties to these agreements breach or violate the terms of these agreements, including by refusing or being unavailable to sign assignments, oaths, declarations or other documents, we may not have adequate remedies for any such breach or violation, and we could lose our rights in inventions through such breaches or violations. Furthermore, it is possible that technology relevant to our business will be independently developed by a person that is not a party to such an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6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commercial success will depend in part on not infringing the patents or violating the other proprietary rights of others. We cannot assure you that our operations do not, or will not in the future, infringe existing or future patents. Our activities may be subject to claims that we infringe or otherwise violate patents owned or controlled by third parties.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product candidates.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Significant litigation regarding patent rights occurs in our industry.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regardless of the merit of the claims, and our adversaries in these proceedings may have the ability to dedicate substantially greater resources to prosecuting these legal actions than we can.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6" w:name="page57"/>
    <w:bookmarkEnd w:id="56"/>
    <w:p>
      <w:pPr>
        <w:ind w:right="740"/>
        <w:spacing w:after="0" w:line="277" w:lineRule="auto"/>
        <w:rPr>
          <w:sz w:val="20"/>
          <w:szCs w:val="20"/>
          <w:color w:val="auto"/>
        </w:rPr>
      </w:pPr>
      <w:r>
        <w:rPr>
          <w:rFonts w:ascii="Arial" w:cs="Arial" w:eastAsia="Arial" w:hAnsi="Arial"/>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62" w:lineRule="exact"/>
        <w:rPr>
          <w:sz w:val="20"/>
          <w:szCs w:val="20"/>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the asserted intellectual property;</w:t>
      </w:r>
    </w:p>
    <w:p>
      <w:pPr>
        <w:spacing w:after="0" w:line="117" w:lineRule="exact"/>
        <w:rPr>
          <w:rFonts w:ascii="Arial" w:cs="Arial" w:eastAsia="Arial" w:hAnsi="Arial"/>
          <w:sz w:val="18"/>
          <w:szCs w:val="18"/>
          <w:color w:val="auto"/>
        </w:rPr>
      </w:pPr>
    </w:p>
    <w:p>
      <w:pPr>
        <w:ind w:left="1200" w:right="180" w:hanging="449"/>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200" w:right="340" w:hanging="449"/>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including enhanced damages if we are found to have willfully infringed or misappropriated such rights;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redesign those products that contain the allegedly infringing intellectual property, which could be costly, disruptive and infeasible; and</w:t>
      </w:r>
    </w:p>
    <w:p>
      <w:pPr>
        <w:spacing w:after="0" w:line="128" w:lineRule="exact"/>
        <w:rPr>
          <w:rFonts w:ascii="Arial" w:cs="Arial" w:eastAsia="Arial" w:hAnsi="Arial"/>
          <w:sz w:val="17"/>
          <w:szCs w:val="17"/>
          <w:color w:val="auto"/>
        </w:rPr>
      </w:pPr>
    </w:p>
    <w:p>
      <w:pPr>
        <w:ind w:left="1200" w:right="60" w:hanging="449"/>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78"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patent protection, we also rely upon copyright and trade secret protection, unpatented know-how and continuing technological innovation to develop and maintain our competitive position, which we seek to protect through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trade secrets may be independently developed by others in a manner that could prevent legal recourse by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infringement of our foreign patents,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8" w:name="page59"/>
    <w:bookmarkEnd w:id="58"/>
    <w:p>
      <w:pPr>
        <w:ind w:right="40"/>
        <w:spacing w:after="0" w:line="259"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sometimes unpredictable.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including studies we commission or reports on the efficacy of our products.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patent rights may be affected by developments or uncertainty in the patent statute, patent case law or USPTO rules and regulations. There are a number of recent changes to the patent laws that may have a significant impact on our ability to protect our technology and enforce our intellectual property rights. For example, the United States has recently enacted and is currently implementing the America Invents Act of 2011, a wide-ranging patent reform legislation. These changes include provisions that affect the way patent applications will be prosecuted and may also affect patent litigation. As an example, the first to file provisions, which became effective March 2013, mean that the party that is first to file in the United States generally is awarded the patent rights, regardless of who invented first. This could have a negative impact on some of our IP and could increase uncertainties surrounding obtaining and enforcement or defense of our issued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or future patents.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20"/>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license certain intellectual property, and in the future we may enter into additional agreements that provide us with licenses to valuable intellectual property or technology. These licenses impose various payment obligations on us. If we fail to comply with any of these obligations, we may be required to pay damages and the licensor may have the right to terminate the license. Termination by the licensor could cause us to lose valuable rights, and could prevent us from distributing our products, or inhibit our ability to commercialize future products. Our business could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w:t>
      </w:r>
    </w:p>
    <w:p>
      <w:pPr>
        <w:spacing w:after="0" w:line="2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200" w:right="420" w:hanging="449"/>
        <w:spacing w:after="0" w:line="312" w:lineRule="auto"/>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38" w:lineRule="exact"/>
        <w:rPr>
          <w:rFonts w:ascii="Arial" w:cs="Arial" w:eastAsia="Arial" w:hAnsi="Arial"/>
          <w:sz w:val="16"/>
          <w:szCs w:val="16"/>
          <w:color w:val="auto"/>
        </w:rPr>
      </w:pPr>
    </w:p>
    <w:p>
      <w:pPr>
        <w:ind w:left="1200" w:right="320" w:hanging="44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62" w:lineRule="exact"/>
        <w:rPr>
          <w:rFonts w:ascii="Arial" w:cs="Arial" w:eastAsia="Arial" w:hAnsi="Arial"/>
          <w:sz w:val="18"/>
          <w:szCs w:val="18"/>
          <w:color w:val="auto"/>
        </w:rPr>
      </w:pPr>
    </w:p>
    <w:p>
      <w:pPr>
        <w:ind w:left="1200" w:right="500" w:hanging="44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200" w:hanging="449"/>
        <w:spacing w:after="0" w:line="264"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left="1200" w:right="180" w:hanging="449"/>
        <w:spacing w:after="0" w:line="342" w:lineRule="auto"/>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200" w:right="940" w:hanging="449"/>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200" w:hanging="449"/>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00" w:right="20" w:hanging="449"/>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trademarks or trade names may be challenged, infringed, circumvented or declared generic or descriptive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to raise additional capital to fund our existing commercial operations, develop and commercialize new products and expand our operations.</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our current business plan, we believe that our cash and cash equivalents as of December 31, 2018 and anticipated revenues from sales of our products will be sufficient to meet our anticipated cash requirements for at least the next 24 months. If our available cash balances, potential future borrowing capacity, and anticipated cash flow from operations are insufficient to satisfy our liquidity requirements, including because of lower demand for our products as a result of the risks described in this Annual Report on Form 10-K, we may seek to sell common or preferred equity or debt securities, enter into an additional credit facility or another form of third-party funding or seek other debt financing. Our present and future funding requirements will depend on many other factors, including:</w:t>
      </w:r>
    </w:p>
    <w:p>
      <w:pPr>
        <w:spacing w:after="0" w:line="85" w:lineRule="exact"/>
        <w:rPr>
          <w:sz w:val="20"/>
          <w:szCs w:val="20"/>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17" w:lineRule="exact"/>
        <w:rPr>
          <w:rFonts w:ascii="Arial" w:cs="Arial" w:eastAsia="Arial" w:hAnsi="Arial"/>
          <w:sz w:val="18"/>
          <w:szCs w:val="18"/>
          <w:color w:val="auto"/>
        </w:rPr>
      </w:pPr>
    </w:p>
    <w:p>
      <w:pPr>
        <w:ind w:left="1200" w:right="300" w:hanging="44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17" w:lineRule="exact"/>
        <w:rPr>
          <w:rFonts w:ascii="Arial" w:cs="Arial" w:eastAsia="Arial" w:hAnsi="Arial"/>
          <w:sz w:val="18"/>
          <w:szCs w:val="18"/>
          <w:color w:val="auto"/>
        </w:rPr>
      </w:pPr>
    </w:p>
    <w:p>
      <w:pPr>
        <w:ind w:left="1200" w:right="180" w:hanging="44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62" w:lineRule="exact"/>
        <w:rPr>
          <w:sz w:val="20"/>
          <w:szCs w:val="20"/>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sales and marketing efforts to increase market adoption of our products and address competitive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 development and marketing efforts of any future products or additional features to then-current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license or invest in new technologies;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supply and inventory costs associated with plans to accommodate potential increases in demand for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 capital may not be available to us at such times or in the amounts we need. Even if capital is available, it might be available only on unfavorable terms. Any issuance of additional equity or equity-linked securities could be dilutive to our existing stockholders,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pay dividends, repurchase our stock, make investments and engage in merger, consolidation or asset sale transactions. If we raise additional funds through collaboration and licensing arrangements with third parties, it may be necessary to relinquish or license some rights to our technologies or products, on terms that are not favorable to us. If access to sufficient capital is not available as and when needed, our business will be materially impaired and we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2018, we had federal and state net operating loss carryforwards of $53.8 million and $47.3 million, respectively. The federal and state net operating loss carryforwards will begin to expire, if not utilized, beginning in 2023 and 2020, respectively. These net operating loss carryforwards could expire unused and be unavailable to offset future income tax liabilities. Under the newly enacted federal income tax law, federal net operating losses incurred in 2019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March 2017, we entered into a $35.0 million credit facility with Oxford Finance LLC, or Oxford, that is secured by a lien covering substantially all of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assets, excluding intellectual property. As of December 31, 2018, the outstanding principal balance under the credit facility was $30.0 million. The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tranche under the credit facility became available to us during the second quarter of 2018 upon achievement of a revenue milestone. We had 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to notify Oxford if we elected to borrow. As a result of completing our IPO on July 2, 2018 and receiving the net proceeds therefrom, we elected not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 the additional $5.0 million, and it is no longer available to us. The credit facility contains customary covenants and events of default applicable to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affirmative covenants include, among others, a covenant that requires us to achieve at least 75% of our trailing 12-month forecasted revenues,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measured each month in accordance with a forecast that we provided to Oxford upon signing the agreement and future forecasts that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deliver to the lenders each year for the life of the credit facility. The negative covenants include, among others, restrictions on us transferring collateral,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changing businesses, engaging in mergers or acquisitions, incurring additional indebtedness and encumbering collateral. If we default under the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Oxford may accelerate all of our repayment obligations and take control of our pledged assets, potentially requiring us to renegotiate our agreement on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favorable to us or to immediately cease operations. Further, if we are liquidated, Oxford’s right to repayment would be senior to the rights of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to receive any proceeds from the liquidation. Oxford could declare a default upon the occurrence of any event that it interprets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adverse effect as defined under the credit facility, thereby requiring us to repay the loan immediately or to attempt to reverse the declaration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default through negotiation or litigation. Any declaration by Oxford of an event of default could significantly harm our business and prospects and could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cause the price of our common stock to decline. If we raise any additional debt financing, the terms of such additional debt could further restrict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financial flexibility.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6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2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receive the necessary clearances or approvals for our future products, and failure to timely obtain necessary clearances or approvals for our future products would adversely affect our ability to grow our business.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element of our strategy is to continue to upgrade our products, add new features and expand clearance or approval of our current products to new indications. 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ind w:right="20"/>
        <w:spacing w:after="0" w:line="267" w:lineRule="auto"/>
        <w:rPr>
          <w:sz w:val="20"/>
          <w:szCs w:val="20"/>
          <w:color w:val="auto"/>
        </w:rPr>
      </w:pPr>
      <w:r>
        <w:rPr>
          <w:rFonts w:ascii="Arial" w:cs="Arial" w:eastAsia="Arial" w:hAnsi="Arial"/>
          <w:sz w:val="17"/>
          <w:szCs w:val="17"/>
          <w:color w:val="auto"/>
        </w:rPr>
        <w:t xml:space="preserve">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Our ability to successfully obtain clearance for any new indications will be dependent on us submitting data as to the successful completion of clinical trials evidencing safety and efficacy.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the applicant will then receive authorization to market the device. This device type can then be used as a predicate device for future 510(k) submissions. We initially received marketing authorization of our device through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and we have made changes to our system through subsequent 510(k) clearances. The process of obtaining regulatory clearances or approvals, or completing the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process, to market a medical device can be costly and time consuming, and we may not be able to successfully obtain pre-market reviews</w:t>
      </w:r>
      <w:r>
        <w:rPr>
          <w:rFonts w:ascii="Arial" w:cs="Arial" w:eastAsia="Arial" w:hAnsi="Arial"/>
          <w:sz w:val="17"/>
          <w:szCs w:val="17"/>
          <w:i w:val="1"/>
          <w:iCs w:val="1"/>
          <w:color w:val="auto"/>
        </w:rPr>
        <w:t xml:space="preserve"> </w:t>
      </w:r>
      <w:r>
        <w:rPr>
          <w:rFonts w:ascii="Arial" w:cs="Arial" w:eastAsia="Arial" w:hAnsi="Arial"/>
          <w:sz w:val="17"/>
          <w:szCs w:val="17"/>
          <w:color w:val="auto"/>
        </w:rPr>
        <w:t>on a timely basis, if at all.</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Modifications to products that are approved through a PMA application generally require FDA approval. Similarly, certain modifications made to products cleared through a 510(k) or authorized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may require a new 510(k) clearance. Each of the PMA approval,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the 510(k) clearance processes can be expensive, lengthy and uncertain. The FDA’s 510(k) clearance process usually takes from three to 12 months but can last longer. The process of obtaining a PMA is much costlier and more uncertain than the 510(k) clearance process and generally takes from one to three years, or even longer, from the time the application is filed with the FDA. In addition, a PMA generally requires the performance of one or more clinical trials.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approvals or clearances could harm our business. Furthermore, even if we are granted regulatory clearances or approvals, they may include significant limitations on the indicated uses for the device, which may limit the market for the device.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Even if granted, a 510(k) clearance,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or PMA approval imposes substantial restrictions on how our devices may be marketed or sold, and the FDA continues to place considerable restrictions on our products and operations. For example, the manufacture of medical devices must comply with the FDA’s Quality System Regulation, or QSR. In addition, manufacturers must register their manufacturing facilities, list the products with the FDA, and comply with requirements relating to labeling, marketing, complaint handling, adverse event and medical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4" w:name="page65"/>
    <w:bookmarkEnd w:id="64"/>
    <w:p>
      <w:pPr>
        <w:ind w:right="60"/>
        <w:spacing w:after="0" w:line="288" w:lineRule="auto"/>
        <w:rPr>
          <w:sz w:val="20"/>
          <w:szCs w:val="20"/>
          <w:color w:val="auto"/>
        </w:rPr>
      </w:pPr>
      <w:r>
        <w:rPr>
          <w:rFonts w:ascii="Arial" w:cs="Arial" w:eastAsia="Arial" w:hAnsi="Arial"/>
          <w:sz w:val="16"/>
          <w:szCs w:val="16"/>
          <w:color w:val="auto"/>
        </w:rPr>
        <w:t>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detention or seizure of our products; operating restrictions or partial suspension or total shutdown of production; refusing or delaying requests for 510(k) marketing clearance or PMA approvals of new products or modified products; withdrawing 510(k) marketing clearances or PMA approvals that have already been granted; refusing to provide Certificates for Foreign Government; refusing to grant export approval for our products; or pursuing criminal prosecution. Any of these sanctions could impair our ability to produce our products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sales and our ability to generate profits.</w:t>
      </w:r>
    </w:p>
    <w:p>
      <w:pPr>
        <w:spacing w:after="0" w:line="16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sell our products in member countries of the EEA our products must comply with the essential requirements of the EU Medical Devices Directive (Council Directive 93/42/EEC).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right="180"/>
        <w:spacing w:after="0" w:line="277" w:lineRule="auto"/>
        <w:rPr>
          <w:sz w:val="20"/>
          <w:szCs w:val="20"/>
          <w:color w:val="auto"/>
        </w:rPr>
      </w:pPr>
      <w:r>
        <w:rPr>
          <w:rFonts w:ascii="Arial" w:cs="Arial" w:eastAsia="Arial" w:hAnsi="Arial"/>
          <w:sz w:val="18"/>
          <w:szCs w:val="18"/>
          <w:color w:val="auto"/>
        </w:rPr>
        <w:t>We or our distributors will also need to obtain regulatory approval in other foreign jurisdictions in which we plan to market and sell our products, and we or they may not obtain such approvals as necessary to commercialize our products in those territories.</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 approvals, and may require us to cease marketing or recall the modified products until clearances are obtained.</w:t>
      </w:r>
    </w:p>
    <w:p>
      <w:pPr>
        <w:spacing w:after="0" w:line="6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Any modification to a 510(k)-cleared product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features in the future that we believe do not require a new 510(k) clearance or approval of a PMA. If the FDA disagrees with our determination and requires us to submit new 510(k) notifications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or 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or our employees.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these actions could significantly and negatively impact supply of our products. If any of these events occurs, our reputation could be harmed, we could be exposed to product liability claims and we could lose customers and suffer reduced revenues and increased costs.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treatment guidelines for the psychiatric conditions we are targeting change or the standard of care evolves, we may need to redesign and seek new marketing authorization from the FDA for one or more of our products.</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treatment guidelines for the psychiatric conditions we are targeting or the standard of care for such conditions evolves, we may need to redesign the applicable product and seek new clearances or approvals from the FDA. Our 510(k)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200"/>
        <w:spacing w:after="0" w:line="264"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product has been authorized for marketing by the FDA for a specific indication. We train our commercial organization and distributors outside the United States to not promote our products for uses outside of the FDA-cleared indications for use, known as “off-label uses.” We cannot, however, prevent a psychiatrist from using our products off-label, when in the psychiatrist’s independent professional medical judgment, he or she deems it appropriate. There may be increased risk of injury to patients if psychiatrists attempt to use our products off-label. Furthermore, the use of our products for indications other than those cleared by the FDA or approved by any foreign regulatory body may not effectively treat such conditions, which could harm our reputation in the marketplace among psychiatrists and patients.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w:t>
      </w:r>
    </w:p>
    <w:p>
      <w:pPr>
        <w:spacing w:after="0" w:line="295"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ind w:right="180"/>
        <w:spacing w:after="0" w:line="279"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adverse event involving our products could result in voluntary corrective actions, such as recalls or customer notifications, or agency action, such as inspection, mandatory recall or other enforcement action. Any corrective action, whether voluntary or involuntary, as well as defending ourselves in a lawsuit, would require the dedication of our time and capital, distract management from operating our business and may harm our reputation and financial results.</w:t>
      </w: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17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25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patients and third-party payors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63" w:lineRule="exact"/>
        <w:rPr>
          <w:sz w:val="20"/>
          <w:szCs w:val="20"/>
          <w:color w:val="auto"/>
        </w:rPr>
      </w:pPr>
    </w:p>
    <w:p>
      <w:pPr>
        <w:ind w:left="1200" w:right="60" w:hanging="449"/>
        <w:spacing w:after="0" w:line="270"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 good or service, for which payment may be made, in whole or in part, under federal healthcare programs, such as Medicare and Medicaid. The term “remuneration” has been broadly interpreted to include anything of value. The intent standard under the federal Anti-Kickback Statute was amended by the Patient Protection and Affordable Care Act, as amended by the Health Care and Education Reconciliation Act of 2010, or the PPACA, to a stricter standard such that a person or entity no longer needs to have actual knowledge of the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left="449" w:hanging="449"/>
        <w:spacing w:after="0" w:line="287" w:lineRule="auto"/>
        <w:tabs>
          <w:tab w:leader="none" w:pos="4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penalties laws, including the federal civil False Claims Act, which prohibit, among other things, individuals or entities from knowingly presenting, or causing to be presented, false, fictitious or fraudulent claims for payment from Medicare, Medicaid or other federal healthcare programs, and knowingly making, using or causing to be made or used a false record or statement material to a false or fraudulent claim to avoid, decrease or conceal an obligation to pay money to the federal government. Private individuals can bring federal civil False Claims Act “qui tam” actions, on behalf of the government and such individuals, commonly known as “whistleblowers,” and may share in amounts paid by the entity to the government in fines or settlement. Companies have been prosecuted under the federal civil False Claims Act in connection with alleged off-label promotion of devices and allegedly providing free products to customers with the expectation that the customers would bill federal health care programs for the product. As a result of a modification made by the Fraud Enforcement and Recovery Act of 2009, a claim includes “any request or demand” for money or property presented to the U.S. government. In addition, manufacturers can be held liable under the federal civil False Claims Act even when they do not submit claims directly to government payors if they are deemed to “cause” the submission of false or fraudulent claims;</w:t>
      </w:r>
    </w:p>
    <w:p>
      <w:pPr>
        <w:spacing w:after="0" w:line="64" w:lineRule="exact"/>
        <w:rPr>
          <w:rFonts w:ascii="Arial" w:cs="Arial" w:eastAsia="Arial" w:hAnsi="Arial"/>
          <w:sz w:val="16"/>
          <w:szCs w:val="16"/>
          <w:color w:val="auto"/>
        </w:rPr>
      </w:pPr>
    </w:p>
    <w:p>
      <w:pPr>
        <w:ind w:left="449" w:right="100" w:hanging="449"/>
        <w:spacing w:after="0" w:line="291" w:lineRule="auto"/>
        <w:tabs>
          <w:tab w:leader="none" w:pos="4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59" w:lineRule="exact"/>
        <w:rPr>
          <w:rFonts w:ascii="Arial" w:cs="Arial" w:eastAsia="Arial" w:hAnsi="Arial"/>
          <w:sz w:val="16"/>
          <w:szCs w:val="16"/>
          <w:color w:val="auto"/>
        </w:rPr>
      </w:pPr>
    </w:p>
    <w:p>
      <w:pPr>
        <w:ind w:left="449" w:right="60" w:hanging="449"/>
        <w:spacing w:after="0" w:line="273" w:lineRule="auto"/>
        <w:tabs>
          <w:tab w:leader="none" w:pos="4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Physician Payments Sunshine Act under the PPACA which requires certain manufacturers of drugs, devices, biologics and medical supplies for which payment is available under Medicare, Medicaid or the Children’s Health Insurance Program (with certain exceptions) to report annually to the United States Department of Health and Human Services, Centers for Medicare and Medicaid Services, or CMS,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w:t>
      </w:r>
    </w:p>
    <w:p>
      <w:pPr>
        <w:spacing w:after="0" w:line="70" w:lineRule="exact"/>
        <w:rPr>
          <w:rFonts w:ascii="Arial" w:cs="Arial" w:eastAsia="Arial" w:hAnsi="Arial"/>
          <w:sz w:val="17"/>
          <w:szCs w:val="17"/>
          <w:color w:val="auto"/>
        </w:rPr>
      </w:pPr>
    </w:p>
    <w:p>
      <w:pPr>
        <w:ind w:left="449" w:right="20" w:hanging="449"/>
        <w:spacing w:after="0" w:line="255" w:lineRule="auto"/>
        <w:tabs>
          <w:tab w:leader="none" w:pos="4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privacy, security transmission and breach reporting obligations with respect to individually identifiable health information, including PHI, upon “covered entities” subject to the law, such as health plans, healthcare clearinghouses and certain healthcare providers, and their respective business associates that perform services on their behalf that involve individually identifiable health information, including PHI.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and</w:t>
      </w:r>
    </w:p>
    <w:p>
      <w:pPr>
        <w:spacing w:after="0" w:line="81" w:lineRule="exact"/>
        <w:rPr>
          <w:rFonts w:ascii="Arial" w:cs="Arial" w:eastAsia="Arial" w:hAnsi="Arial"/>
          <w:sz w:val="18"/>
          <w:szCs w:val="18"/>
          <w:color w:val="auto"/>
        </w:rPr>
      </w:pPr>
    </w:p>
    <w:p>
      <w:pPr>
        <w:ind w:left="449" w:right="60" w:hanging="449"/>
        <w:spacing w:after="0" w:line="288" w:lineRule="auto"/>
        <w:tabs>
          <w:tab w:leader="none" w:pos="4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in the United States (such as the European Union, which adopted the General Data Protection Regulation, which became effective in May 2018);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69" w:lineRule="exact"/>
        <w:rPr>
          <w:sz w:val="20"/>
          <w:szCs w:val="20"/>
          <w:color w:val="auto"/>
        </w:rPr>
      </w:pPr>
    </w:p>
    <w:p>
      <w:pPr>
        <w:ind w:left="486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9"/>
          </w:cols>
          <w:pgMar w:left="991" w:top="449" w:right="239" w:bottom="1440" w:gutter="0" w:footer="0" w:header="0"/>
        </w:sectPr>
      </w:pPr>
    </w:p>
    <w:bookmarkStart w:id="69" w:name="page70"/>
    <w:bookmarkEnd w:id="69"/>
    <w:p>
      <w:pPr>
        <w:ind w:right="20"/>
        <w:spacing w:after="0" w:line="273"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psychiatrists or other potential purchasers of our products. We have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disgorgement, exclusion from participation in government healthcare programs, such as Medicare and Medicaid, imprisonment, additional reporting obligations and oversight if we becomes subject to a corporate integrity agreement or other agreement to resolve allegations of non-compliance with these laws, reputational harm, diminished profits and future earnings, and the curtailment or restructuring of our operations, any of which could adversely affect our ability to operate our business and pursue our strategy.</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example, in March 2010, the PPACA was enacted in the United States, which made a number of substantial changes in the way healthcare is financed by both governmental and private insurers. Among other ways in which it may impact our business, the PPACA:</w:t>
      </w:r>
    </w:p>
    <w:p>
      <w:pPr>
        <w:spacing w:after="0" w:line="62" w:lineRule="exact"/>
        <w:rPr>
          <w:sz w:val="20"/>
          <w:szCs w:val="20"/>
          <w:color w:val="auto"/>
        </w:rPr>
      </w:pPr>
    </w:p>
    <w:p>
      <w:pPr>
        <w:ind w:left="1200" w:right="100" w:hanging="449"/>
        <w:spacing w:after="0" w:line="302"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46" w:lineRule="exact"/>
        <w:rPr>
          <w:rFonts w:ascii="Arial" w:cs="Arial" w:eastAsia="Arial" w:hAnsi="Arial"/>
          <w:sz w:val="16"/>
          <w:szCs w:val="16"/>
          <w:color w:val="auto"/>
        </w:rPr>
      </w:pPr>
    </w:p>
    <w:p>
      <w:pPr>
        <w:ind w:left="1200" w:right="440" w:hanging="449"/>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62" w:lineRule="exact"/>
        <w:rPr>
          <w:rFonts w:ascii="Arial" w:cs="Arial" w:eastAsia="Arial" w:hAnsi="Arial"/>
          <w:sz w:val="18"/>
          <w:szCs w:val="18"/>
          <w:color w:val="auto"/>
        </w:rPr>
      </w:pPr>
    </w:p>
    <w:p>
      <w:pPr>
        <w:ind w:left="1200" w:right="20" w:hanging="449"/>
        <w:spacing w:after="0" w:line="342"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psychiatrists and other providers to improve the coordination, quality and efficiency of certain healthcare services through bundled payment models; and</w:t>
      </w:r>
    </w:p>
    <w:p>
      <w:pPr>
        <w:spacing w:after="0" w:line="15" w:lineRule="exact"/>
        <w:rPr>
          <w:rFonts w:ascii="Arial" w:cs="Arial" w:eastAsia="Arial" w:hAnsi="Arial"/>
          <w:sz w:val="16"/>
          <w:szCs w:val="16"/>
          <w:color w:val="auto"/>
        </w:rPr>
      </w:pPr>
    </w:p>
    <w:p>
      <w:pPr>
        <w:ind w:left="1200" w:hanging="449"/>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70" w:name="page71"/>
    <w:bookmarkEnd w:id="70"/>
    <w:p>
      <w:pPr>
        <w:ind w:right="40"/>
        <w:spacing w:after="0" w:line="285" w:lineRule="auto"/>
        <w:rPr>
          <w:sz w:val="20"/>
          <w:szCs w:val="20"/>
          <w:color w:val="auto"/>
        </w:rPr>
      </w:pPr>
      <w:r>
        <w:rPr>
          <w:rFonts w:ascii="Arial" w:cs="Arial" w:eastAsia="Arial" w:hAnsi="Arial"/>
          <w:sz w:val="16"/>
          <w:szCs w:val="16"/>
          <w:color w:val="auto"/>
        </w:rPr>
        <w:t>Some of the provisions of the PPACA have yet to be implemented, and there have been judicial and Congressional challenges to certain aspects of the PPACA, as well as recent efforts by the Trump administration to repeal or replace certain aspects of the PPACA. Since January 2017,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or the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The 2018 Appropriations Resolution delayed the implementation of certain PPACA-mandated fees, including, without limitation, the medical device excise tax. The Bipartisan Budget Act of 2018, or the BBA, among other things, amends the PPACA, effective January 1, 2019,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U.S. District Court Judge in the Northern District of Texas, or Texas District Court Judge, ruled that the individual mandate is a critical and inseverable feature of the PPACA, and therefore, because it was repealed as part of the Tax Act, the remaining provisions of the PPACA are invalid as well. While the Texas District Court Judge, as well as the Trump administration and CMS, have stated that the ruling will have no immediate effect, it is unclear how this decision, subsequent appeals, if any, and other efforts to repeal and replace the PPACA will impact the PPACA. As a result, there is significant uncertainty regarding future healthcare reform and its impact on our operations.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legislative amendments to the statute, including the BBA, will remain in effect through 2027 unless additional Congressional action is taken. Additionally, on January 2, 2013, President Obama signed into law the American Taxpayer Relief Act of 2012 which, among other things, further reduced Medicare payments to several types of providers, including hospitals, and increased the statute of limitations period for the government to recover overpayments to providers from three to five years. Further, the Medicare Access and CHIP Reauthorization Act of 2015, enacted on April 16, 2015, or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19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38" w:lineRule="exact"/>
        <w:rPr>
          <w:sz w:val="20"/>
          <w:szCs w:val="20"/>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actual or anticipated fluctuations in our financial condition and operating results;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actual or anticipated changes in our growth rate;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commercial success and market acceptance of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competitors in developing or commercializing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media exposure of our products or of those of others in our industry;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to commercialize or obtain regulatory approvals for our products, or delays in commercializing or obtaining regulatory approvals;</w:t>
      </w:r>
    </w:p>
    <w:p>
      <w:pPr>
        <w:spacing w:after="0" w:line="140" w:lineRule="exact"/>
        <w:rPr>
          <w:rFonts w:ascii="Arial" w:cs="Arial" w:eastAsia="Arial" w:hAnsi="Arial"/>
          <w:sz w:val="16"/>
          <w:szCs w:val="16"/>
          <w:color w:val="auto"/>
        </w:rPr>
      </w:pPr>
    </w:p>
    <w:p>
      <w:pPr>
        <w:ind w:left="1200" w:right="800" w:hanging="449"/>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7" w:lineRule="exact"/>
        <w:rPr>
          <w:rFonts w:ascii="Arial" w:cs="Arial" w:eastAsia="Arial" w:hAnsi="Arial"/>
          <w:sz w:val="18"/>
          <w:szCs w:val="18"/>
          <w:color w:val="auto"/>
        </w:rPr>
      </w:pPr>
    </w:p>
    <w:p>
      <w:pPr>
        <w:ind w:left="1200" w:right="440" w:hanging="449"/>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prevailing economic, industry and market conditions, including factors unrelated to our operating performance or the operating performance of our competitors;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disruptions caused by earthquakes, fires or other natural disasters;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or other proprietary rights, including litigation;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other U.S. or foreign regulatory actions affecting us or the healthcare or medical device industry;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healthcare reform measures in the United States;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third-party payor developments in the United States and other countries;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our directors, officers, or stockholders;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in general, and the markets for companies like ours in particular, have from time to time experienced extreme volatility that has been often unrelated to the operating performance of the company. These broad market and industry fluctuations may negatively impact the price or liquidity of our common stock, regardless of our operating performance.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could make our common stock less attractive to investors.</w:t>
      </w:r>
    </w:p>
    <w:p>
      <w:pPr>
        <w:spacing w:after="0" w:line="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an “emerging growth company,” as defined in the JOBS Act. We may remain an emerging growth company until as late as December 31, 2023, though we may cease to be an emerging growth company earlier under certain circumstances, including (i) if the market value of our common stock that is held by non-affiliates exceeds $700 million as of any June 30, in which case we would cease to be an emerging growth company as of the following December 31, or (ii) if our gross revenues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are choosing not to “opt out” of such extended transition period, and as a result, we will not comply with new or revised accounting standards on the relevant dates on which adoption of such standards is required for non-emerging growth companies.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or securities convertible or exchangeable for our common stock may cause our stock price to decline.</w:t>
      </w:r>
    </w:p>
    <w:p>
      <w:pPr>
        <w:spacing w:after="0" w:line="1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If our stockholders or option holders sell, or indicate an intention to sell, substantial amounts of our common stock in the public market, the price of our common stock could decline. The perception in the market that these sales may occur could also cause the price of our common stock to decline.</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Shares of common stock that are either subject to outstanding options, or are outstanding but subject to vesting or reserved for future issuance under our 2018 Equity Incentive Plan, or the 2018 Plan, will become eligible for sale in the public market to the extent permitted by the provisions of various vesting schedules, Rule 144 and Rule 701 under the Securities Act. We have also filed a registration statement permitting certain shares of common stock issued under our 2003 Stock Incentive Plan, or the 2003 Plan, and shares of common stock issued pursuant to the 2018 Plan or our 2018 Employee Stock Purchase Plan, or the 2018 ESPP, to be freely resold by plan participants in the public market, subject to applicable vesting schedules and, for shares held by directors, executive officers and other affiliates, volume limitations under Rule 144 under the Securities Act. Both the 2018 Plan and the 2018 ESPP contain provisions for the annual increase of the number of shares reserved for issuance under such plans, which shares we also intend to register. If the shares we may issue from time to time under the 2003 Plan, the 2018 Plan or the 2018 ESPP are sold, or if it is perceived that they will be sold, by the award recipients in the public market, the price of our common stock could decline.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11,099,375 shares of common stock are entitled to rights with respect to registration under the Securities Act. Such registration would result in these shares becoming fully tradable without restriction under the Securities Act when the applicable registration statement is declared effective. Sales of such shares could cause the price of our common stock to decline.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control over matters subject to stockholder approval.</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February 28, 2019, our officers and directors, together with holders of 5% or more of our outstanding common stock and their respective affiliates, beneficially owned approximately 39.0% of our common stock. Accordingly, these stockholders have an influence over the outcome of corporate actions requiring stockholder approval, including the election of directors, mergers,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the value of our common stock.</w:t>
      </w:r>
    </w:p>
    <w:p>
      <w:pPr>
        <w:spacing w:after="0" w:line="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As a public company, the Sarbanes-Oxley Act requires that we maintain effective disclosure controls and procedures and internal control over financial reporting. We have developed disclosure controls and other procedures that are designed to ensure that information required to be disclosed by us in the reports that we file with the SEC is recorded, processed, summarized and reported within the time periods specified in SEC rules and regulations, and that information required to be disclosed in reports under the Securities Exchange Act of 1934, or the Exchange Act, is communicated to our principal executive and financial officers. Our current controls and any new controls that we develop may become inadequate and weaknesses in our internal control over financial reporting may be discovered in the future. Any failure to maintain effective controls could negatively impact the results of periodic management evaluations and annual independent registered public accounting firm attestation reports regarding the effectiveness of our internal control over financial reporting that we will be required to include in periodic reports we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the Nasdaq Global Market.</w:t>
      </w:r>
    </w:p>
    <w:p>
      <w:pPr>
        <w:spacing w:after="0" w:line="16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until the later of our second annual report or the first annual report we are required to file with the SEC following the date we are no longer an “emerging growth company,” as defined in the JOBS Act, depending on whether we choose to rely on certain exemptions set forth in the JOBS Act.</w:t>
      </w: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of our amended and restated charter documents or Delaware law could delay or prevent an acquisition of the company, even if the acquisition would be beneficial to our stockholders, which could make it more difficult for you to change management.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9" w:lineRule="exact"/>
        <w:rPr>
          <w:sz w:val="20"/>
          <w:szCs w:val="20"/>
          <w:color w:val="auto"/>
        </w:rPr>
      </w:pPr>
    </w:p>
    <w:p>
      <w:pPr>
        <w:ind w:left="1200" w:hanging="44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200" w:right="520" w:hanging="449"/>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left="1200" w:right="100" w:hanging="449"/>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authority of our board of directors to issue blank-check preferred stock with such terms as our board of directors may determine; and</w:t>
      </w:r>
    </w:p>
    <w:p>
      <w:pPr>
        <w:spacing w:after="0" w:line="140" w:lineRule="exact"/>
        <w:rPr>
          <w:rFonts w:ascii="Arial" w:cs="Arial" w:eastAsia="Arial" w:hAnsi="Arial"/>
          <w:sz w:val="16"/>
          <w:szCs w:val="16"/>
          <w:color w:val="auto"/>
        </w:rPr>
      </w:pPr>
    </w:p>
    <w:p>
      <w:pPr>
        <w:ind w:left="1200" w:right="380" w:hanging="449"/>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Delaware law may discourage, delay or prevent a change in control of our company.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Provisions in our charter documents and other provisions of Delaware law could limit the price that investors are willing to pay in the future for shares of our common stock.</w:t>
      </w:r>
    </w:p>
    <w:p>
      <w:pPr>
        <w:spacing w:after="0" w:line="27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the Court of Chancery of the State of Delaware is the exclusive forum for (i) any derivative action or proceeding brought on our behalf, other than an action or suit to enforce a duty or liability created by the Securities Exchange Act of 1934 or any other claim for which the federal courts have exclusive jurisdiction,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never declared or paid any cash dividends on our common stock and do not intend to do so in the foreseeable future. We currently intend to retain all available funds and any future earnings to finance the growth and development of our business. In addition, the terms of our credit agreements contain, and the terms of any future credit agreements we may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5" w:name="page76"/>
    <w:bookmarkEnd w:id="75"/>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stock price and trading volume could decline.</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and our business. We do not have any control over these analysts. If one or more of the analysts who cover us downgrade our common stock or change their opinion of our common stock, our stock price would likely decline. If one or more of these analysts cease to cover us or fail to regularly publish reports on us, we could lose visibility in the financial markets, which could cause our stock price or trading volume to decline.</w:t>
      </w:r>
    </w:p>
    <w:p>
      <w:pPr>
        <w:spacing w:after="0" w:line="27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occupy an approximately 32,000 square foot facility in Malvern, Pennsylvania, under a lease that ends in February 2021, for our corporate headquarters, which includes office and warehouse space. We have an option to extend the lease for an additional five-year term followed by a three-year additional term. We believe that our existing facilities are adequate to meet our needs for the foreseeable future.</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65" w:right="3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12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common stock has been publicly traded on the Nasdaq Global Market under the symbol “STIM” since June 28, 2018. Prior to that time, there was no public market for our common stock. The shares of our common stock sold in our initial public offering (IPO) on June 27, 2018 were priced at $17.00 per share. The following table sets forth the high and low sales price of our common stock, as reported by the Nasdaq Global Market for the period indicated:</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Second Quarter (June 28, 2018 through June 30, 2018)</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w:t>
            </w:r>
          </w:p>
        </w:tc>
        <w:tc>
          <w:tcPr>
            <w:tcW w:w="80" w:type="dxa"/>
            <w:vAlign w:val="bottom"/>
            <w:shd w:val="clear" w:color="auto" w:fill="CFF0FC"/>
          </w:tcPr>
          <w:p>
            <w:pPr>
              <w:spacing w:after="0"/>
              <w:rPr>
                <w:sz w:val="18"/>
                <w:szCs w:val="18"/>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39.39</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23.95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Fourth Quarter</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February 28, 2019, there were approximately 95 holders of record of our common stock, solely based upon the count our transfer agent provided to us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common stock. We currently intend to retain all available funds and any future earnings to support our operations and finance the growth and development of our business. In addition, under the terms of our loan and security agreement with Oxford Finance LLC, we may not declare or pay any cash dividends or distributions, subject to certain exceptions, without the consent of Oxford Finance LLC. Any future determination related to our dividend policy will be made at the discretion of our board of directors and will depend upon, among other factors, our results of operations, financial condition, capital requirements, the consent of Oxford Finance LLC, other contractual restrictions, business prospects and other factors our board of directors may deem relevant.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2016, March 2017 and December 2017, we issued preferred stock warrants to Oxford Finance LLC, each of which was immediately exercisable for 588,498 shares of our Series F convertible preferred stock at an exercise price of $0.3356 per share. The August 2016, March 2017 and December 2017 warrants expire on August 31, 2023, March 28, 2024 and December 27, 2024, respectively, if not earlier exercised.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Immediately prior to the closing of our IPO on July 2, 2018, all of our outstanding Series E and Series F convertible preferred stock warrants automatically converted into common stock warrants. Each of these August 2016, March 2017 and December 2017 Series F convertible preferred stock warrants converted into warrants to purchase 20,303 shares of our common stock at an exercise price of $9.73 per share.</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sales of the above securities were deemed to be exempt from registration under the Securities Act in reliance upon Section 4(2)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IPO was effected through a Registration Statement on Form S-1 (File No. 333-225307) that was declared effective by the SEC on June 27, 2018. On June 27, 2018, 6,325,000 shares of our common stock were sold at a public offering price of $17.00 per share, for aggregate gross proceeds of $107.5 million. As of the date of filing this Annual Report on Form 10-K, the offering has terminated, and all of the securities registered pursuant to the offering were sold prior to termination. Piper Jaffray &amp; Co. and William Blair &amp; Company, L.L.C. acted as joint book-running managers, Canaccord Genuity LLC acted as lead manager and BTIG, LLC and JMP Securities LLC acted as co-managers for the IPO.</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2, 2018, received net proceeds $96.5 million after deducting underwriting discounts, commissions and other offering expenses paid by us. The funds shall be used in a manner consistent with the use of proceeds from the IPO as described in our IPO prospectus under the caption “Use of Proceeds,” which has not materially changed since the filing of our IPO prospectus with the SEC on June 29,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information regarding our existing equity compensation plans as of December 31,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Upon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Price of</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reflected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Warrants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Column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Equity compensation plans approved by security</w:t>
            </w:r>
          </w:p>
        </w:tc>
        <w:tc>
          <w:tcPr>
            <w:tcW w:w="1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2"/>
            <w:shd w:val="clear" w:color="auto" w:fill="CFF0FC"/>
          </w:tcPr>
          <w:p>
            <w:pPr>
              <w:jc w:val="right"/>
              <w:ind w:right="4840"/>
              <w:spacing w:after="0"/>
              <w:rPr>
                <w:sz w:val="20"/>
                <w:szCs w:val="20"/>
                <w:color w:val="auto"/>
              </w:rPr>
            </w:pPr>
            <w:r>
              <w:rPr>
                <w:rFonts w:ascii="Arial" w:cs="Arial" w:eastAsia="Arial" w:hAnsi="Arial"/>
                <w:sz w:val="16"/>
                <w:szCs w:val="16"/>
                <w:color w:val="auto"/>
              </w:rPr>
              <w:t>holders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FF0FC"/>
            </w:tcBorders>
            <w:gridSpan w:val="2"/>
          </w:tcPr>
          <w:p>
            <w:pPr>
              <w:jc w:val="right"/>
              <w:ind w:right="4840"/>
              <w:spacing w:after="0"/>
              <w:rPr>
                <w:sz w:val="20"/>
                <w:szCs w:val="20"/>
                <w:color w:val="auto"/>
              </w:rPr>
            </w:pPr>
            <w:r>
              <w:rPr>
                <w:rFonts w:ascii="Arial" w:cs="Arial" w:eastAsia="Arial" w:hAnsi="Arial"/>
                <w:sz w:val="16"/>
                <w:szCs w:val="16"/>
                <w:color w:val="auto"/>
              </w:rPr>
              <w:t>holders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FF0FC"/>
            </w:tcBorders>
            <w:gridSpan w:val="2"/>
            <w:shd w:val="clear" w:color="auto" w:fill="CFF0FC"/>
          </w:tcPr>
          <w:p>
            <w:pPr>
              <w:jc w:val="right"/>
              <w:ind w:right="4820"/>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2,711</w:t>
            </w: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“Item 15. Exhibits and Financial Statement Schedules — Notes to Financial Statements — Note 12. Share-Based Compensation and Note 13. Employee Benefit Plans”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8" w:name="page79"/>
    <w:bookmarkEnd w:id="78"/>
    <w:p>
      <w:pPr>
        <w:spacing w:after="0"/>
        <w:tabs>
          <w:tab w:leader="none" w:pos="1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tables set forth, for the periods and as of the dates indicated, our selected historical financial data. The statements of operations data for the years ended December 31, 2018, 2017 and 2016 and the balance sheet data as of December 31, 2018 and 2017 are derived from our audited financial statements appearing at the end of this Annual Report on Form 10-K. The balance sheet data as of December 31, 2016 is derived from audited financial statements that do not appear at the end of this Annual Report on Form 10-K.You should read this data together with the more detailed information contained in our audited financial statements and the related notes thereto and in “Management’s Discussion and Analysis of Financial Condition and Results of Operations” included elsewhere in this Annual Report on Form 10-K. Our historical results are not necessarily indicative of the results that should be expected in the future.</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40"/>
              <w:spacing w:after="0"/>
              <w:rPr>
                <w:sz w:val="20"/>
                <w:szCs w:val="20"/>
                <w:color w:val="auto"/>
              </w:rPr>
            </w:pPr>
            <w:r>
              <w:rPr>
                <w:rFonts w:ascii="Arial" w:cs="Arial" w:eastAsia="Arial" w:hAnsi="Arial"/>
                <w:sz w:val="14"/>
                <w:szCs w:val="14"/>
                <w:b w:val="1"/>
                <w:bCs w:val="1"/>
                <w:color w:val="auto"/>
                <w:w w:val="90"/>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0"/>
              </w:rPr>
              <w:t>Statements of Operations Data:</w:t>
            </w:r>
          </w:p>
        </w:tc>
        <w:tc>
          <w:tcPr>
            <w:tcW w:w="20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Revenues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52,776</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40,433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bottom w:val="single" w:sz="8" w:color="CFF0FC"/>
            </w:tcBorders>
            <w:gridSpan w:val="3"/>
          </w:tcPr>
          <w:p>
            <w:pPr>
              <w:ind w:left="72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40,329</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27,606</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24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bottom w:val="single" w:sz="8" w:color="CFF0FC"/>
            </w:tcBorders>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1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1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3"/>
          </w:tcPr>
          <w:p>
            <w:pPr>
              <w:ind w:left="720"/>
              <w:spacing w:after="0"/>
              <w:rPr>
                <w:sz w:val="20"/>
                <w:szCs w:val="20"/>
                <w:color w:val="auto"/>
              </w:rPr>
            </w:pPr>
            <w:r>
              <w:rPr>
                <w:rFonts w:ascii="Arial" w:cs="Arial" w:eastAsia="Arial" w:hAnsi="Arial"/>
                <w:sz w:val="16"/>
                <w:szCs w:val="16"/>
                <w:color w:val="auto"/>
              </w:rPr>
              <w:t>Loss from Operations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(19,834)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(13,608)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(9,337)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240"/>
              <w:spacing w:after="0"/>
              <w:rPr>
                <w:sz w:val="20"/>
                <w:szCs w:val="20"/>
                <w:color w:val="auto"/>
              </w:rPr>
            </w:pPr>
            <w:r>
              <w:rPr>
                <w:rFonts w:ascii="Arial" w:cs="Arial" w:eastAsia="Arial" w:hAnsi="Arial"/>
                <w:sz w:val="16"/>
                <w:szCs w:val="16"/>
                <w:color w:val="auto"/>
              </w:rPr>
              <w:t>Interest expense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gridSpan w:val="3"/>
            <w:vMerge w:val="restart"/>
          </w:tcPr>
          <w:p>
            <w:pPr>
              <w:ind w:left="720"/>
              <w:spacing w:after="0"/>
              <w:rPr>
                <w:sz w:val="20"/>
                <w:szCs w:val="20"/>
                <w:color w:val="auto"/>
              </w:rPr>
            </w:pPr>
            <w:r>
              <w:rPr>
                <w:rFonts w:ascii="Arial" w:cs="Arial" w:eastAsia="Arial" w:hAnsi="Arial"/>
                <w:sz w:val="16"/>
                <w:szCs w:val="16"/>
                <w:color w:val="auto"/>
              </w:rPr>
              <w:t>Net Loss</w:t>
            </w: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260" w:type="dxa"/>
            <w:vAlign w:val="bottom"/>
            <w:gridSpan w:val="3"/>
            <w:vMerge w:val="continue"/>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(24,097)</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(16,059)</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(11,234)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Net loss per share of common stock outstanding,</w:t>
            </w:r>
          </w:p>
        </w:tc>
        <w:tc>
          <w:tcPr>
            <w:tcW w:w="1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basic and diluted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(86.34)</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gridSpan w:val="4"/>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basic and diluted</w:t>
            </w:r>
          </w:p>
        </w:tc>
        <w:tc>
          <w:tcPr>
            <w:tcW w:w="1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Balance Sheet Data:</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Cash and cash equivalents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104,583</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29,147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Current portion of 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Long-term debt,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Convertible preferred stock</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(221,043)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(196,946)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(180,887)</w:t>
            </w:r>
          </w:p>
        </w:tc>
        <w:tc>
          <w:tcPr>
            <w:tcW w:w="0" w:type="dxa"/>
            <w:vAlign w:val="bottom"/>
          </w:tcPr>
          <w:p>
            <w:pPr>
              <w:spacing w:after="0"/>
              <w:rPr>
                <w:sz w:val="1"/>
                <w:szCs w:val="1"/>
                <w:color w:val="auto"/>
              </w:rPr>
            </w:pPr>
          </w:p>
        </w:tc>
      </w:tr>
      <w:tr>
        <w:trPr>
          <w:trHeight w:val="210"/>
        </w:trPr>
        <w:tc>
          <w:tcPr>
            <w:tcW w:w="4280" w:type="dxa"/>
            <w:vAlign w:val="bottom"/>
            <w:gridSpan w:val="4"/>
          </w:tcPr>
          <w:p>
            <w:pPr>
              <w:spacing w:after="0"/>
              <w:rPr>
                <w:sz w:val="20"/>
                <w:szCs w:val="20"/>
                <w:color w:val="auto"/>
              </w:rPr>
            </w:pPr>
            <w:r>
              <w:rPr>
                <w:rFonts w:ascii="Arial" w:cs="Arial" w:eastAsia="Arial" w:hAnsi="Arial"/>
                <w:sz w:val="16"/>
                <w:szCs w:val="16"/>
                <w:color w:val="auto"/>
              </w:rPr>
              <w:t>Total stockholders’ equity (deficit)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(192,652)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(177,124)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9" w:name="page80"/>
    <w:bookmarkEnd w:id="79"/>
    <w:p>
      <w:pPr>
        <w:spacing w:after="0"/>
        <w:tabs>
          <w:tab w:leader="none" w:pos="1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financial statements and related notes thereto and other financial information included elsewhere in this Annual Report on Form 10-K. In addition to historical financial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907 active NeuroStar Advanced Therapy Systems in approximately 707 psychiatrist offices as of December 31, 2018 and the estimated 62,900 patients treated with approximately 2.3 million of our treatment sessions through such date. We generated revenues of $52.8 million and $40.4 million for the years ended December 31, 2018 and 2017, respectively.</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sales of our recurring treatment sessions and from service and repair and extended warranty contracts. We derive the majority of our revenues from recurring treatment sessions. For the year ended December 31, 2018, revenues from sales of our treatment sessions and NeuroStar Advanced Therapy Systems represented 69% and 28% of our U.S. revenues, respectively. For the year ended December 31, 2017, revenues from sales of our treatment sessions and NeuroStar Advanced Therapy Systems represented 71% and 25% of our U.S. revenues, respectively.</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sell our NeuroStar Advanced Therapy System and recurring treatment sessions in the United States through our sales and customer support team, which was comprised of 133 people as of December 31, 2018.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No single customer accounted for more than 10% of our revenues for the years ended December 31, 2018 or 2017. Patients are reimbursed by Medicare and the vast majority of commercial payors in the United States for treatment sessions utilizing our NeuroStar Advanced Therapy System.</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2% and 1% of our total revenues for the years ended December 31, 2018 and 2017,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plan to continue to work with Teijin to obtain reimbursement for NeuroStar Advanced Therapy in Japan. We expect our international revenues to increase as a percentage of our total revenues as we grow our presence in Japan.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0" w:name="page81"/>
    <w:bookmarkEnd w:id="80"/>
    <w:p>
      <w:pPr>
        <w:ind w:right="20"/>
        <w:spacing w:after="0" w:line="25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total revenues increased by $12.3 million, or 31%, from $40.4 million for the year ended December 31, 2017 to $52.8 million for the year ended December 31, 2018. For the year ended December 31, 2018, our U.S. revenues were $51.5 million, compared to $39.9 million for the year ended December 31, 2017, which represented an increase of 29% period over period. We expect to continue to incur losses for the next several years as we expand our commercial organization to support our planned sales growth and while continuing to invest in our pipeline indications. As of December 31, 2018, we had an accumulated deficit of $221.0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July 2, 2018, we closed our initial public offering, or IPO, in which we issued and sold 6,325,000 shares of our common stock, which included shares sold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option granted to the underwriters to purchase additional shares, at a public offering price of $17.00 per share. We received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$96.5 million after deducting underwriting discounts, commissions and other offering expenses paid by us. Our common stock is listed on the Nasdaq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under the trading symbol “STIM.” Our primary sources of capital to date have been from our IPO, private placements of our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borrowings under our credit facilities and revenues from sales of our products.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7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907 and 752 active NeuroStar Advanced Therapy Systems as of December 31, 2018 and 2017, respectively.</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 Sessions and SenStar treatment links.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7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17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Sales in the United States represented 98% and 99% of our total revenues in 2018 and 2017, respectively and have been generated by our direct sales force. Outside the United States, our sales are made through local third-party distributors. International revenues were 2% for the year ended December 31, 2018, compared with 1% for the year ended December 31, 2017. In 2017, we terminated our relationship with our Japanese distributor in anticipation of entering into a new distribution agreement with Teijin, which significantly impacted our international sales for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1" w:name="page82"/>
    <w:bookmarkEnd w:id="81"/>
    <w:p>
      <w:pPr>
        <w:ind w:right="20"/>
        <w:spacing w:after="0" w:line="259" w:lineRule="auto"/>
        <w:rPr>
          <w:sz w:val="20"/>
          <w:szCs w:val="20"/>
          <w:color w:val="auto"/>
        </w:rPr>
      </w:pPr>
      <w:r>
        <w:rPr>
          <w:rFonts w:ascii="Arial" w:cs="Arial" w:eastAsia="Arial" w:hAnsi="Arial"/>
          <w:sz w:val="18"/>
          <w:szCs w:val="18"/>
          <w:color w:val="auto"/>
        </w:rPr>
        <w:t>year ended December 31, 2017. We expect that both our United States and international revenues will increase in the near term as we continue to expand the installed base of NeuroStar Advanced Therapy Systems and increase the related patient utilization in the United States, as well as grow our presence in Japan. We expect our revenues to be positively impacted to the extent our direct sales force is successful in increasing the rate of adoption and utilization of treatment with TMS Therapy as an alternative to other MDD treatments.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television and radio media campaigns, travel and training expenses.</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a significant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Securities and Exchange Commission, or SEC, reporting and compliance, as well as increased director and officer insurance premiums, as a result of becoming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2" w:name="page83"/>
    <w:bookmarkEnd w:id="82"/>
    <w:p>
      <w:pPr>
        <w:ind w:right="280"/>
        <w:spacing w:after="0" w:line="259"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(income) expense, net consists primarily of the revaluation related to our outstanding convertible preferred stock warrants, which were accounted for as a liability as of June 30, 2018 and marked-to-market at each reporting period, as well as gains and losses on the disposal of fixed assets and interest income earned on our money market account balances.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7"/>
              </w:rPr>
              <w:t>Years ended December 31,</w:t>
            </w:r>
          </w:p>
        </w:tc>
        <w:tc>
          <w:tcPr>
            <w:tcW w:w="140" w:type="dxa"/>
            <w:vAlign w:val="bottom"/>
          </w:tcPr>
          <w:p>
            <w:pPr>
              <w:spacing w:after="0"/>
              <w:rPr>
                <w:sz w:val="14"/>
                <w:szCs w:val="1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right"/>
              <w:ind w:right="600"/>
              <w:spacing w:after="0" w:line="155" w:lineRule="exact"/>
              <w:rPr>
                <w:sz w:val="20"/>
                <w:szCs w:val="20"/>
                <w:color w:val="auto"/>
              </w:rPr>
            </w:pPr>
            <w:r>
              <w:rPr>
                <w:rFonts w:ascii="Arial" w:cs="Arial" w:eastAsia="Arial" w:hAnsi="Arial"/>
                <w:sz w:val="14"/>
                <w:szCs w:val="14"/>
                <w:b w:val="1"/>
                <w:bCs w:val="1"/>
                <w:color w:val="auto"/>
              </w:rPr>
              <w:t>Dollars</w:t>
            </w:r>
          </w:p>
        </w:tc>
        <w:tc>
          <w:tcPr>
            <w:tcW w:w="96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w w:val="97"/>
              </w:rPr>
              <w:t>Percentage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7"/>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7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12,343</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Cost of revenues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5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30,801</w:t>
            </w: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9,528</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Gross Margin</w:t>
            </w:r>
          </w:p>
        </w:tc>
        <w:tc>
          <w:tcPr>
            <w:tcW w:w="15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76.2%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5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5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8,572</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5,095</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15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60,163</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44,409</w:t>
            </w:r>
          </w:p>
        </w:tc>
        <w:tc>
          <w:tcPr>
            <w:tcW w:w="2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15,754</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Loss from Operations</w:t>
            </w:r>
          </w:p>
        </w:tc>
        <w:tc>
          <w:tcPr>
            <w:tcW w:w="15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(19,834)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(13,608)</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(6,226)</w:t>
            </w:r>
          </w:p>
        </w:tc>
        <w:tc>
          <w:tcPr>
            <w:tcW w:w="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58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left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15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(357)</w:t>
            </w:r>
          </w:p>
        </w:tc>
        <w:tc>
          <w:tcPr>
            <w:tcW w:w="1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932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Net Loss</w:t>
            </w:r>
          </w:p>
        </w:tc>
        <w:tc>
          <w:tcPr>
            <w:tcW w:w="15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7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(16,059)</w:t>
            </w:r>
          </w:p>
        </w:tc>
        <w:tc>
          <w:tcPr>
            <w:tcW w:w="14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(8,038)</w:t>
            </w:r>
          </w:p>
        </w:tc>
        <w:tc>
          <w:tcPr>
            <w:tcW w:w="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Revenues by Geography</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0"/>
              </w:rPr>
              <w:t>Years ended December 31,</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940" w:type="dxa"/>
            <w:vAlign w:val="bottom"/>
          </w:tcPr>
          <w:p>
            <w:pPr>
              <w:jc w:val="right"/>
              <w:ind w:right="322"/>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341"/>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Revenues</w:t>
            </w: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6"/>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7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51,477</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FF0FC"/>
          </w:tcPr>
          <w:p>
            <w:pPr>
              <w:jc w:val="right"/>
              <w:ind w:right="62"/>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39,853</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International</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revenues</w:t>
            </w:r>
          </w:p>
        </w:tc>
        <w:tc>
          <w:tcPr>
            <w:tcW w:w="15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FF0FC"/>
          </w:tcPr>
          <w:p>
            <w:pPr>
              <w:jc w:val="right"/>
              <w:ind w:right="62"/>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3" w:name="page84"/>
    <w:bookmarkEnd w:id="83"/>
    <w:p>
      <w:pPr>
        <w:jc w:val="center"/>
        <w:ind w:left="5120"/>
        <w:spacing w:after="0"/>
        <w:rPr>
          <w:sz w:val="20"/>
          <w:szCs w:val="20"/>
          <w:color w:val="auto"/>
        </w:rPr>
      </w:pPr>
      <w:r>
        <w:rPr>
          <w:rFonts w:ascii="Arial" w:cs="Arial" w:eastAsia="Arial" w:hAnsi="Arial"/>
          <w:sz w:val="14"/>
          <w:szCs w:val="14"/>
          <w:b w:val="1"/>
          <w:bCs w:val="1"/>
          <w:color w:val="auto"/>
        </w:rPr>
        <w:t>U.S. Revenues by Product Category</w:t>
      </w:r>
    </w:p>
    <w:p>
      <w:pPr>
        <w:jc w:val="center"/>
        <w:ind w:left="5120"/>
        <w:spacing w:after="0" w:line="236" w:lineRule="auto"/>
        <w:rPr>
          <w:sz w:val="20"/>
          <w:szCs w:val="20"/>
          <w:color w:val="auto"/>
        </w:rPr>
      </w:pPr>
      <w:r>
        <w:rPr>
          <w:rFonts w:ascii="Arial" w:cs="Arial" w:eastAsia="Arial" w:hAnsi="Arial"/>
          <w:sz w:val="14"/>
          <w:szCs w:val="14"/>
          <w:b w:val="1"/>
          <w:bCs w:val="1"/>
          <w:color w:val="auto"/>
        </w:rPr>
        <w:t>Years ended 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30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322"/>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Revenues</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7"/>
          </w:tcPr>
          <w:p>
            <w:pPr>
              <w:jc w:val="right"/>
              <w:ind w:right="460"/>
              <w:spacing w:after="0" w:line="155" w:lineRule="exact"/>
              <w:rPr>
                <w:sz w:val="20"/>
                <w:szCs w:val="20"/>
                <w:color w:val="auto"/>
              </w:rPr>
            </w:pPr>
            <w:r>
              <w:rPr>
                <w:rFonts w:ascii="Arial" w:cs="Arial" w:eastAsia="Arial" w:hAnsi="Arial"/>
                <w:sz w:val="14"/>
                <w:szCs w:val="14"/>
                <w:b w:val="1"/>
                <w:bCs w:val="1"/>
                <w:color w:val="auto"/>
                <w:w w:val="90"/>
              </w:rPr>
              <w:t>(in thousands, except percentages)</w:t>
            </w: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NeuroStar Advanced Therapy System</w:t>
            </w:r>
          </w:p>
        </w:tc>
        <w:tc>
          <w:tcPr>
            <w:tcW w:w="15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14,603</w:t>
            </w:r>
          </w:p>
        </w:tc>
        <w:tc>
          <w:tcPr>
            <w:tcW w:w="28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Treatment sessions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35,287</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w:t>
            </w:r>
          </w:p>
        </w:tc>
        <w:tc>
          <w:tcPr>
            <w:tcW w:w="28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40"/>
              <w:spacing w:after="0"/>
              <w:rPr>
                <w:sz w:val="20"/>
                <w:szCs w:val="20"/>
                <w:color w:val="auto"/>
              </w:rPr>
            </w:pPr>
            <w:r>
              <w:rPr>
                <w:rFonts w:ascii="Arial" w:cs="Arial" w:eastAsia="Arial" w:hAnsi="Arial"/>
                <w:sz w:val="16"/>
                <w:szCs w:val="16"/>
                <w:color w:val="auto"/>
              </w:rPr>
              <w:t>Total U.S. revenues</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51,477</w:t>
            </w:r>
          </w:p>
        </w:tc>
        <w:tc>
          <w:tcPr>
            <w:tcW w:w="2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39,853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revenues increased by $12.3 million, or 31%, from $40.4 million for the year ended December 31, 2017 to $52.8 million for the year ended December 31, 2018. Revenues in the United States increased by $11.6 million from 2017 to 2018 due to higher unit sales of both NeuroStar Advanced Therapy Systems and treatment sessions. During the fourth quarter of 2017, we entered into an exclusive distribution agreement with Teijin, which we believe will allow us to increase our revenues in Japan once we obtain reimbursement in that country.</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in the United States increased by $11.6 million, or 29%, from $39.9 million for the year ended December 31, 2017 to $51.5 million for the year ended December 31, 2018. NeuroStar Advanced Therapy System revenues in the United States grew by $4.5 million, or 44%, in the year ended December 31, 2018 compared to the year ended December 31, 2017. The increase in U.S. NeuroStar revenue was primarily driven by higher capital revenue growth of 59% due to higher unit sales, partially offset by a 1% decrease in average selling prices, lower upgrade, rent-to-own, and other related revenue. NeuroStar Advanced Therapy System revenues represented 28% and 25% of U.S. revenues for 2018 and 2017, respectively. We believe the growth in NeuroStar Advanced Therapy System revenues between these two periods was the result of the efforts of our expanded commercial organization and increased marketing efforts. As of December 31, 2018, we had an installed base of 907 active systems in the United States, compared to 752 as of December 31, 2017.</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Treatment sessions revenues in the United States represented 69% and 71% of total revenues in the United States for the years ended December 31, 2018 and 2017, respectively, and increased by 24% from $28.4 million for the year end December 31, 2017 to $35.3 million for the year ended December 31, 2018. The increase in United States treatment session revenues was primarily the result of an approximate 25% increase in the number of treatment sessions sold, partially offset by a 5% decline in average selling price due to pre-determined volume pricing discounts within our existing customer base which are triggered when those customers surpass certain high volume thresholds, plus an increase in other treatment session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Cost of revenues increased by $2.8 million, or 29%, from $9.6 million for the year ended December 31, 2017 to $12.4 million for the year ended December 31, 2018. The increase was primarily due to increased NeuroStar Advanced Therapy System sales. Gross margin was 76.4% for the year ended December 31, 2018 compared to 76.2% for the year ended December 31, 2017. The gross margin was higher due to increased leverage on our service and operation costs, which were partially offset by the higher mix of NeuroStar Advanced Therapy System revenues in 2018 in relation to treatment session revenue and the reduction in average selling prices of our treatment sessions.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Sales and marketing expenses increased by $10.4 million, or 37%, from $27.9 million for the year ended December 31, 2017 to $38.3 million for the year ended December 31, 2018. The increase was primarily due to increased personnel costs as a result of our sales and marketing expansion activities, as well as higher marketing expenses and sales commission costs, consistent with our growth in revenues. During 2018, we added 15 new sales territories and undertook several marketing projects to support our expansion plans, including increasing our presence at trade shows, expanding our media campaigns and enhancing our practice support program to include patient starter kits.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by $5.1 million, or 59%, from $8.6 million for the year ended December 31, 2017 to $13.7 million for the year ended December 31, 2018. The increase was primarily due to an increase in personnel and legal, accounting and other professional services expenses required to support the growth of our business and ready the infrastructure for public company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Research and development expenses increased $0.3 million, or 4%, from $7.9 million for the year ended December 31, 2017 to $8.2 million for the year ended December 31, 2018. The increase was primarily due to expenses relating to the launch of the next generation of our NeuroStar Advanced Therapy System and TrakStar practice management system, which were partially offset by declines in spending relating to our adolescent study.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Interest expense increased $0.9 million, or 31%, from $2.8 million for the year ended December 31, 2017 to $3.7 million for the year ended December 31, 2018, primarily as a result of higher cash interest expenses related to the increase in principal borrowings under our current credit facility and higher non-cash interest expenses accrued in connection with final payment fees due to the lender under the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Other expense (income), net decreased by $0.9 million from ($0.3) million for year December 31, 2017 to $0.6 million for the year ended December 31, 2018. The fair value remeasurement of the liability related to our outstanding convertible preferred stock warrants decreased by $1.7 million during the year ended December 31, 2018, which was based on the closing stock price on June 29, 2018, following the pricing of our IPO on June 27, 2018. Upon closing of our IPO on July 2, 2018, all of our outstanding convertible preferred stock warrants converted into common stock warrants, resulting in the reclassification of our convertible preferred stock warrant liability into additional paid-in-capital. This decrease was partially offset by a $0.8 million of increase in interest income earned on the proceeds received from the IPO. Other expense (income), net for 2018 includes a one-time $0.1 million non-utilization fee related to the Company’s election to not draw down the Term C loan, primarily as a result of the funds received from the IPO.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Years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Dollars</w:t>
            </w:r>
          </w:p>
        </w:tc>
        <w:tc>
          <w:tcPr>
            <w:tcW w:w="102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7"/>
          </w:tcPr>
          <w:p>
            <w:pPr>
              <w:jc w:val="right"/>
              <w:ind w:right="380"/>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34,228</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Cost of revenues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3,010</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30,801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27,606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3,195</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Gross Margin</w:t>
            </w: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6,106</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(286)</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1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44,409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36,943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7,466</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Loss from Operations</w:t>
            </w: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(13,608)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(9,337)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(4,271)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5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973</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740"/>
              <w:spacing w:after="0"/>
              <w:rPr>
                <w:sz w:val="20"/>
                <w:szCs w:val="20"/>
                <w:color w:val="auto"/>
              </w:rPr>
            </w:pPr>
            <w:r>
              <w:rPr>
                <w:rFonts w:ascii="Arial" w:cs="Arial" w:eastAsia="Arial" w:hAnsi="Arial"/>
                <w:sz w:val="16"/>
                <w:szCs w:val="16"/>
                <w:color w:val="auto"/>
              </w:rPr>
              <w:t>Net Loss</w:t>
            </w: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(16,059)</w:t>
            </w:r>
          </w:p>
        </w:tc>
        <w:tc>
          <w:tcPr>
            <w:tcW w:w="3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(11,234)</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(4,825)</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5" w:name="page86"/>
    <w:bookmarkEnd w:id="85"/>
    <w:p>
      <w:pPr>
        <w:jc w:val="center"/>
        <w:ind w:left="5120"/>
        <w:spacing w:after="0"/>
        <w:rPr>
          <w:sz w:val="20"/>
          <w:szCs w:val="20"/>
          <w:color w:val="auto"/>
        </w:rPr>
      </w:pPr>
      <w:r>
        <w:rPr>
          <w:rFonts w:ascii="Arial" w:cs="Arial" w:eastAsia="Arial" w:hAnsi="Arial"/>
          <w:sz w:val="14"/>
          <w:szCs w:val="14"/>
          <w:b w:val="1"/>
          <w:bCs w:val="1"/>
          <w:color w:val="auto"/>
        </w:rPr>
        <w:t>Revenues by Geography</w:t>
      </w:r>
    </w:p>
    <w:p>
      <w:pPr>
        <w:jc w:val="center"/>
        <w:ind w:left="5120"/>
        <w:spacing w:after="0" w:line="236" w:lineRule="auto"/>
        <w:rPr>
          <w:sz w:val="20"/>
          <w:szCs w:val="20"/>
          <w:color w:val="auto"/>
        </w:rPr>
      </w:pPr>
      <w:r>
        <w:rPr>
          <w:rFonts w:ascii="Arial" w:cs="Arial" w:eastAsia="Arial" w:hAnsi="Arial"/>
          <w:sz w:val="14"/>
          <w:szCs w:val="14"/>
          <w:b w:val="1"/>
          <w:bCs w:val="1"/>
          <w:color w:val="auto"/>
        </w:rPr>
        <w:t>Years ended 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ind w:right="4"/>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5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39,853</w:t>
            </w:r>
          </w:p>
        </w:tc>
        <w:tc>
          <w:tcPr>
            <w:tcW w:w="260" w:type="dxa"/>
            <w:vAlign w:val="bottom"/>
            <w:tcBorders>
              <w:right w:val="single" w:sz="8" w:color="CFF0FC"/>
            </w:tcBorders>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International</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580</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revenues</w:t>
            </w: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260" w:type="dxa"/>
            <w:vAlign w:val="bottom"/>
            <w:tcBorders>
              <w:right w:val="single" w:sz="8" w:color="CFF0FC"/>
            </w:tcBorders>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U.S. Revenues by Product Category</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0"/>
              </w:rPr>
              <w:t>Years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ind w:right="4"/>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NeuroStar Advanced Therapy System</w:t>
            </w:r>
          </w:p>
        </w:tc>
        <w:tc>
          <w:tcPr>
            <w:tcW w:w="15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w:t>
            </w:r>
          </w:p>
        </w:tc>
        <w:tc>
          <w:tcPr>
            <w:tcW w:w="260" w:type="dxa"/>
            <w:vAlign w:val="bottom"/>
            <w:tcBorders>
              <w:right w:val="single" w:sz="8" w:color="CFF0FC"/>
            </w:tcBorders>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Treatment sessions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28,391</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w:t>
            </w:r>
          </w:p>
        </w:tc>
        <w:tc>
          <w:tcPr>
            <w:tcW w:w="260" w:type="dxa"/>
            <w:vAlign w:val="bottom"/>
            <w:tcBorders>
              <w:right w:val="single" w:sz="8" w:color="CFF0FC"/>
            </w:tcBorders>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40"/>
              <w:spacing w:after="0"/>
              <w:rPr>
                <w:sz w:val="20"/>
                <w:szCs w:val="20"/>
                <w:color w:val="auto"/>
              </w:rPr>
            </w:pPr>
            <w:r>
              <w:rPr>
                <w:rFonts w:ascii="Arial" w:cs="Arial" w:eastAsia="Arial" w:hAnsi="Arial"/>
                <w:sz w:val="16"/>
                <w:szCs w:val="16"/>
                <w:color w:val="auto"/>
              </w:rPr>
              <w:t>Total U.S. revenues</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39,853</w:t>
            </w:r>
          </w:p>
        </w:tc>
        <w:tc>
          <w:tcPr>
            <w:tcW w:w="26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31,577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revenues increased by $6.2 million, or 18%, from $34.2 million for the year ended December 31, 2016 to $40.4 million for the year ended December 31, 2017. Revenues in the United States increased by $8.3 million from 2016 to 2017 due to higher unit sales of both NeuroStar Advanced Therapy Systems and treatment sessions. International revenues declined by $2.1 million primarily due to the transition of our Japanese distributor during the fourth quarter of 2016. During the fourth quarter of 2017, we entered into an exclusive distribution agreement with Teijin, which we believe will allow us to increase our revenues in Japan once we obtain reimbursement in that country.</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Revenues in the United States increased by $8.3 million, or 26%, from $31.6 million for the year ended December 31, 2016 to $39.9 million for the year ended December 31, 2017. NeuroStar Advanced Therapy System revenues in the United States grew by $4.4 million from 2016 to 2017, or 78%, based on 64% higher unit volume and 14% higher average selling prices. NeuroStar Advanced Therapy System revenues represented 18% and 25% of U.S. revenues for 2016 and 2017, respectively. We believe the growth in NeuroStar Advanced Therapy System revenues between these two periods was the result of the efforts of our expanded sales and customer support team to place additional systems.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Treatment sessions revenues in the United States increased by $3.8 million from 2016 to 2017, primarily due to an increase in the installed base of NeuroStar Advanced Therapy Systems. Treatment session revenues represented 78% and 71% of total revenues in the United States for the year ended December 31, 2016 and 2017, respectively. The increase in treatment session revenues in the United States was primarily the result of a 24% increase in the number of treatment sessions performed. This was offset by a 9% decline in average selling price due to certain volume pricing discounts within our existing customer base.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 of revenues increased by $3.0 million, or 45%, from $6.6 million for the year ended December 31, 2016 to $9.6 million for the year ended December 31, 2017. The increase was primarily due to increased NeuroStar Advanced Therapy System sales becoming a larger portion of the sales mix. Gross margin was 76% for the year ended December 31, 2017 compared to 81% for the year ended December 31, 2016. The decrease in gross margin was primarily due to the higher mix of NeuroStar Advanced Therapy System revenues in 2017 in relation to treatment sessions revenues and the reduction in the average selling price of our treatment sessions.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Sales and marketing expenses increased by $6.1 million, or 28%, from $21.8 million for the year ended December 31, 2016 to $27.9 million for the year ended December 31, 2017. The increase was primarily due to increased personnel costs as a result of our sales and marketing expansion activities, as well as higher marketing expenses and sales commission costs, consistent with our growth in revenues. During 2017, we added 15 new sales territories and undertook several marketing projects to support our expansion plans, including increasing our presence at trade shows, expanding our media campaigns and enhancing our practice support program to include patient starter kits.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expenses increased by $1.7 million, or 24%, from $6.9 million for the year ended December 31, 2016 to $8.6 million for the year ended December 31, 2017. The increase was primarily due to an increase in personnel and legal, accounting and other professional services expenses required to support the growth of our business and ready the infrastructure for public company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Research and development expenses decreased $0.3 million, or 3%, from $8.2 million for the year ended December 31, 2016 to $7.9 million for the year ended December 31, 2017. The decrease was primarily due to declines in spending relating to our adolescent study, which were partially offset by expenses relating to the launch of the next generation of our NeuroStar Advanced Therapy System and TrakStar practice management system.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increased $1.0 million, or 53%, from $1.8 million for the year ended December 31, 2016 to $2.8 million for the year ended December 31, 2017, primarily as a result of higher cash interest expenses related to the increase in principal borrowings under our current credit facility and higher non-cash interest expenses accrued in connection with final payment fees due to the lender under the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fair value remeasurement of the liability related to our outstanding convertible preferred stock warrants decreased by $0.3 million during the year ended December 31, 2017 as a result of the change in the fair value of our Series E and Series F convertible preferred stock during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July 2, 2018, we closed our IPO, in which we issued and sold 6,325,000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2018, we had cash and cash equivalents of $104.6 million and an accumulated deficit of $221.0 million, compared to cash and cash equivalents of $29.1 million and an accumulated deficit of $196.9 million as of December 31, 2017. We incurred negative cash flows from operating activities of $20.6 million and $11.1 million for the years ended December 31, 2018 and 2017,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December 31, 2018, we had $30.0 million of borrowings outstanding under our credit facility, which matures in March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spacing w:after="0" w:line="268" w:lineRule="auto"/>
        <w:rPr>
          <w:sz w:val="20"/>
          <w:szCs w:val="20"/>
          <w:color w:val="auto"/>
        </w:rPr>
      </w:pPr>
      <w:r>
        <w:rPr>
          <w:rFonts w:ascii="Arial" w:cs="Arial" w:eastAsia="Arial" w:hAnsi="Arial"/>
          <w:sz w:val="17"/>
          <w:szCs w:val="17"/>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cash and cash equivalents as of December 31, 2018 and anticipated revenues from sales of our products will be sufficient to meet our anticipated cash requirements for at least the next 24 months after December 31, 2018. However, if these sources are insufficient to satisfy our liquidity requirements, we may seek to sell additional common or preferred equity or debt securities,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17" w:lineRule="exact"/>
        <w:rPr>
          <w:sz w:val="20"/>
          <w:szCs w:val="20"/>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17" w:lineRule="exact"/>
        <w:rPr>
          <w:rFonts w:ascii="Arial" w:cs="Arial" w:eastAsia="Arial" w:hAnsi="Arial"/>
          <w:sz w:val="18"/>
          <w:szCs w:val="18"/>
          <w:color w:val="auto"/>
        </w:rPr>
      </w:pPr>
    </w:p>
    <w:p>
      <w:pPr>
        <w:ind w:left="1200" w:right="300" w:hanging="44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62" w:lineRule="exact"/>
        <w:rPr>
          <w:rFonts w:ascii="Arial" w:cs="Arial" w:eastAsia="Arial" w:hAnsi="Arial"/>
          <w:sz w:val="18"/>
          <w:szCs w:val="18"/>
          <w:color w:val="auto"/>
        </w:rPr>
      </w:pPr>
    </w:p>
    <w:p>
      <w:pPr>
        <w:ind w:left="1200" w:right="180" w:hanging="44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62" w:lineRule="exact"/>
        <w:rPr>
          <w:rFonts w:ascii="Arial" w:cs="Arial" w:eastAsia="Arial" w:hAnsi="Arial"/>
          <w:sz w:val="18"/>
          <w:szCs w:val="18"/>
          <w:color w:val="auto"/>
        </w:rPr>
      </w:pPr>
    </w:p>
    <w:p>
      <w:pPr>
        <w:ind w:left="1200" w:right="300" w:hanging="44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years ended December 31, 2018, 2017 and 2016:</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w:t>
      </w:r>
    </w:p>
    <w:p>
      <w:pPr>
        <w:ind w:left="7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(20,591)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(11,144)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(8,541)</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(594)</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r>
      <w:tr>
        <w:trPr>
          <w:trHeight w:val="219"/>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23,845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4,896</w:t>
            </w:r>
          </w:p>
        </w:tc>
        <w:tc>
          <w:tcPr>
            <w:tcW w:w="80" w:type="dxa"/>
            <w:vAlign w:val="bottom"/>
            <w:shd w:val="clear" w:color="auto" w:fill="CFF0FC"/>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4580" w:type="dxa"/>
            <w:vAlign w:val="bottom"/>
          </w:tcPr>
          <w:p>
            <w:pPr>
              <w:ind w:left="240"/>
              <w:spacing w:after="0"/>
              <w:rPr>
                <w:sz w:val="20"/>
                <w:szCs w:val="20"/>
                <w:color w:val="auto"/>
              </w:rPr>
            </w:pPr>
            <w:r>
              <w:rPr>
                <w:rFonts w:ascii="Arial" w:cs="Arial" w:eastAsia="Arial" w:hAnsi="Arial"/>
                <w:sz w:val="16"/>
                <w:szCs w:val="16"/>
                <w:color w:val="auto"/>
              </w:rPr>
              <w:t>Net Increase (Decrease) in Cash and Cash Equivalents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75,436</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12,107</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(3,969)</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operating activities for 2018 was $20.6 million, consisting primarily of a net loss of $24.1 million and an increase in net operating assets of $1.6 million, partially offset by non-cash charges of $5.1 million. The increase in net operating assets was primarily due to an increase in accounts receivable and inventory as a result of higher sales volumes.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used in operating activities for 2017 was $11.1 million, consisting primarily of a net loss of $16.1 million, offset by an increase in net operating liabilities of $3.2 million and non-cash charges of $1.8 million. The increase in net operating liabilities was primarily due to an increase in deferred revenue representing the initial payment and first milestone payment received in accordance with our Japanese distribution agreement as well as expanding commercial and research activities.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operating activities for 2016 was $8.5 million, consisting primarily of a net loss of $11.2 million, offset by an increase in net operating liabilities of $1.4 million and non-cash charges of $1.3 million. The increase in net operating liabilities was primarily due to increases in accounts payable and accrued expenses, offset by an increase in inventory primarily due rent-to-own units from one large customer. Non-cash charges consisted of depreciation and amortization, non-cash interest expense, share-based compensation and the change in the fair value of the liability related to our outstanding convertible preferred stock warrants.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investing activities for 2018 was $1.0 million, compared to net cash used in investing activities for 2017 of $0.6 million and $0.3 million for 2016, in each case attributable to purchases of property and equipment and capitalized software costs in 2017 and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provided by financing activities for 2018 was $97.0 million, consisting primarily of $100.0 million of proceeds related to the closing of our IPO on July 2, 2018, partially offset by $3.5 million of payments of costs related to the IPO.</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financing activities for 2017 was $23.8 million, consisting of $14.8 million of net proceeds from the issuance of Series G convertible preferred stock and $10.0 million of borrowings under our current credit facility, offset by payment of $1.0 million of deferred debt issuance costs incurred in connection with our March 2017 amended credit facility.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provided by financing activities for 2016 was $4.9 million, consisting primarily of $5.0 million of borrowings under our previous credit facility, offset by payment of the related deferred debt issuance costs incurred in connection with a March 2016 amendment.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March 2017, we entered into a new loan and security agreement with Oxford Finance LLC, or Oxford, for a credit facility that replaced our previous</w:t>
      </w:r>
    </w:p>
    <w:p>
      <w:pPr>
        <w:spacing w:after="0" w:line="3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$25.0 million credit facility with Oxford and which allowed us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Oxford if we elected to borrow the Term C Loan. As a result of completing our IPO on July 2, 2018 and receiving the proceeds therefrom, we elected not to borrow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9" w:name="page90"/>
    <w:bookmarkEnd w:id="89"/>
    <w:p>
      <w:pPr>
        <w:ind w:right="40"/>
        <w:spacing w:after="0" w:line="255" w:lineRule="auto"/>
        <w:rPr>
          <w:sz w:val="20"/>
          <w:szCs w:val="20"/>
          <w:color w:val="auto"/>
        </w:rPr>
      </w:pPr>
      <w:r>
        <w:rPr>
          <w:rFonts w:ascii="Arial" w:cs="Arial" w:eastAsia="Arial" w:hAnsi="Arial"/>
          <w:sz w:val="18"/>
          <w:szCs w:val="18"/>
          <w:color w:val="auto"/>
        </w:rPr>
        <w:t>additional $5.0 million, and it is no longer available to us. Each term loan accrues interest from the date of borrowing through the date of repayment at a floating per annum rate of interest, which resets monthly and is equal to the greater of (a) 8.15% or (b) the 30-day U.S. LIBOR on the last business day of the month plus 7.38%. At the date of each borrowing, we were required to issue to Oxford warrants to purchase our Series F or later series of convertible preferred stock with a seven-year term and in an amount equal to 3.95% of the first $5.0 million of each tranche borrowed. The credit facility matures and all amounts borrowed thereunder are due on March 1, 2022. As of December 31, 2018, we had borrowed and had outstanding an aggregate of $30.0 million of principal under our credit facility.</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Term A Loan featured an interest-only period through March 2019, during which time we were required to make monthly interest payments, after which time we were required to make monthly payments of principal and interest based on a 36-month amortization schedule. However, upon the achievement of $45.0 million of revenues during the fourth quarter of 2018, the interest-only period was extended for an additional 12 months through March 2020, after which time we will be required to make monthly payments of principal and interest based on a 24-month amortization schedule. In connection with the drawdown of the Term A Loan, we issued to Oxford a warrant to purchase shares of its Series F convertible preferred stock. This convertible preferred stock warrant converted into a warrant to purchase 20,303 shares of our common stock at an exercise price of $9.73 per share. The warrant will expire in March 2024.</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Term B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we will be required to make monthly payments of principal and interest based on a 24-month amortization schedule. In connection with the drawdown of the Term B Loan, we issued to Oxford a warrant to purchase shares of its Series F convertible preferred stock. This convertible preferred stock warrant converted into a warrant to purchase 20,303 shares of our common stock at an exercise price of $9.73 per share. The warrant will expire in December 2024.</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principal and interest payments due under the credit facility, we are required to make final payment fees to Oxford due upon the earlier of prepayment or maturity of each tranche, which increased as a result the extension of the interest-only period and are now equal to 8.5% and 7.5% of the principal amounts of the Term A and Term B Loans, respectively. We accrue the estimated final payment fees using the effective interest rate, with a charge to non-cash interest expense, over the term of borrowing for each tranche. As of December 31, 2018, the effective interest rates for the Term A and Term B Loans were 11.87% and 12.14%, respectively. As of December 31, 2017, the effective interest rates for the Term A and Term B Loans were 10.7% and 11.6%, respectively. If the we prepay our term loans prior to their respective scheduled maturities, we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obligations under the credit facility are secured by a first priority security interest in substantially all of our assets, other than our intellectual property. We have agreed not to pledge or otherwise encumber any of our intellectual property. The loan and security agreement related to our credit facility includes a financial maintenance covenant that requires us to achieve at least 75% of our trailing 12-month forecasted revenues, as measured each month in accordance with a forecast that we provided to Oxford upon signing the agreement and future forecasts that we are required to deliver to Oxford each year for the life of the credit facility, as well as customary affirmative and negative covenants. We were in compliance with all of the covenants under our credit facility as of December 31, 2018.</w:t>
      </w:r>
    </w:p>
    <w:p>
      <w:pPr>
        <w:spacing w:after="0" w:line="193"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loan and security agreement related to our credit facility contains events of default, including, without limitation, events of default upon: (i) failure to make payment pursuant to the terms of the agreement; (ii) violation of covenants; (iii) material adverse changes to our business; (iv) attachment or levy on our assets or judicial restraint on our business; (v) insolvency; (vi) significant judgments, orders or decrees for payments by us not covered by insurance;</w:t>
      </w:r>
    </w:p>
    <w:p>
      <w:pPr>
        <w:ind w:right="360" w:firstLine="8"/>
        <w:spacing w:after="0" w:line="290" w:lineRule="auto"/>
        <w:tabs>
          <w:tab w:leader="none" w:pos="3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incorrectness of representations and warranties; (viii) incurrence of subordinated debt; (ix) revocation of governmental approvals necessary for us to conduct our business; and (x) failure by us to maintain a valid and perfected lien on the collateral securing the borrowing.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0" w:name="page91"/>
    <w:bookmarkEnd w:id="90"/>
    <w:p>
      <w:pPr>
        <w:ind w:right="80"/>
        <w:spacing w:after="0" w:line="277" w:lineRule="auto"/>
        <w:rPr>
          <w:sz w:val="20"/>
          <w:szCs w:val="20"/>
          <w:color w:val="auto"/>
        </w:rPr>
      </w:pPr>
      <w:r>
        <w:rPr>
          <w:rFonts w:ascii="Arial" w:cs="Arial" w:eastAsia="Arial" w:hAnsi="Arial"/>
          <w:sz w:val="18"/>
          <w:szCs w:val="18"/>
          <w:color w:val="auto"/>
        </w:rPr>
        <w:t>Based on a 24-month amortization of the outstanding principal amounts of the Term A and Term B Loans beginning on April 1, 2020 as discussed above, the following table sets forth by year our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Payments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principal payments</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$25.0 Million Credit Facility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March 2017, we had a $25.0 million credit facility in place with Oxford, which we entered into in February 2014 and which allowed us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we were also required to issue convertible preferred stock warrants to Oxford at the time of borrowing of each tranche. These convertible preferred stock warrants converted into common stock warrants immediately prior to the closing of our IPO on July 2, 2018,</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accrued final payment fees using the effective interest rate, with a charge to non-cash interest expense, over the term of borrowing and until our entry into our current credit facility in March 2017, at which time we paid the lender $1.0 million in satisfaction of all final payment fee liabilities due under the prior credit facility.</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evaluated whether our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we accounted for the transaction as a debt modification. As of March 2017, the unamortized balance of deferred financing costs incurred in connection with the $25.0 million credit facility, and certain additional deferred financing costs incurred in connection with entry into our current credit facility, are being amortized to interest expense through March 2022 utilizing the effective interest method.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the year ended December 31, 2018, we recognized interest expense of $3.7 million, of which $2.9 million was cash and $0.8 million was non-cash interest expense related to the amortization of deferred financing costs and accrual of final payment fees. For the year ended December 31, 2017, we recognized interest expense of $2.8 million, of which $2.1 million was cash and $0.7 million was non-cash interest expense related to the amortization of deferred financing costs and accrual of final payment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contractual obligations as of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1"/>
              </w:rPr>
              <w:t>Payments Due by Period</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80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rPr>
              <w:t>1 to 3</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rPr>
              <w:t>3 to 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4"/>
                <w:szCs w:val="14"/>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62"/>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long-term debt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26,250</w:t>
            </w:r>
          </w:p>
        </w:tc>
        <w:tc>
          <w:tcPr>
            <w:tcW w:w="440" w:type="dxa"/>
            <w:vAlign w:val="bottom"/>
            <w:gridSpan w:val="3"/>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5"/>
                <w:szCs w:val="15"/>
                <w:color w:val="auto"/>
              </w:rPr>
              <w:t>Interest and lender fees on long-term debt</w:t>
            </w:r>
            <w:r>
              <w:rPr>
                <w:rFonts w:ascii="Arial" w:cs="Arial" w:eastAsia="Arial" w:hAnsi="Arial"/>
                <w:sz w:val="25"/>
                <w:szCs w:val="25"/>
                <w:color w:val="auto"/>
                <w:vertAlign w:val="superscript"/>
              </w:rPr>
              <w:t>(1)</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Operating leases</w:t>
            </w:r>
            <w:r>
              <w:rPr>
                <w:rFonts w:ascii="Arial" w:cs="Arial" w:eastAsia="Arial" w:hAnsi="Arial"/>
                <w:sz w:val="25"/>
                <w:szCs w:val="25"/>
                <w:color w:val="auto"/>
                <w:vertAlign w:val="superscript"/>
              </w:rPr>
              <w:t>(2)</w:t>
            </w:r>
          </w:p>
        </w:tc>
        <w:tc>
          <w:tcPr>
            <w:tcW w:w="1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260"/>
              <w:spacing w:after="0"/>
              <w:rPr>
                <w:sz w:val="20"/>
                <w:szCs w:val="20"/>
                <w:color w:val="auto"/>
              </w:rPr>
            </w:pPr>
            <w:r>
              <w:rPr>
                <w:rFonts w:ascii="Arial" w:cs="Arial" w:eastAsia="Arial" w:hAnsi="Arial"/>
                <w:sz w:val="16"/>
                <w:szCs w:val="16"/>
                <w:color w:val="auto"/>
              </w:rPr>
              <w:t>Total</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3,506</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30,660</w:t>
            </w:r>
          </w:p>
        </w:tc>
        <w:tc>
          <w:tcPr>
            <w:tcW w:w="44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6,300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560" w:hanging="432"/>
        <w:spacing w:after="0" w:line="211" w:lineRule="auto"/>
        <w:tabs>
          <w:tab w:leader="none" w:pos="44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Interest payable reflects the rate in effect as of December 31, 2018. The interest rate on borrowings under the credit facility is variable and resets monthly. Lender fees reflect final payment fees due.</w:t>
      </w:r>
    </w:p>
    <w:p>
      <w:pPr>
        <w:spacing w:after="0" w:line="26" w:lineRule="exact"/>
        <w:rPr>
          <w:rFonts w:ascii="Arial" w:cs="Arial" w:eastAsia="Arial" w:hAnsi="Arial"/>
          <w:sz w:val="26"/>
          <w:szCs w:val="26"/>
          <w:color w:val="auto"/>
          <w:vertAlign w:val="superscript"/>
        </w:rPr>
      </w:pPr>
    </w:p>
    <w:p>
      <w:pPr>
        <w:ind w:left="440" w:hanging="432"/>
        <w:spacing w:after="0"/>
        <w:tabs>
          <w:tab w:leader="none" w:pos="44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Reflects obligations primarily related to our office and warehouse/storage leases in Malvern, PA.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 with Teijin Pharma Limited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2017, we entered into a seven-and-a-half-year distribution agreement with Teijin Pharma Limited, or Teijin, for the exclusive distribution of our NeuroStar Advanced Therapy System to customers who will treat patients with MDD in Japan. Under the distribution agreement, Teijin is generally restricted from selling competing products in Japan. Our distribution agreement provides that we will have primary responsibility for obtaining reimbursement approval for use of NeuroStar Advanced Therapy System for the treatment of MDD in Japan, and Teijin will promote the sales of NeuroStar Advanced Therapy System for treatment of MDD in Japan. We have agreed to provide sales and technical support training to Teijin for our NeuroStar Advanced Therapy Systems.</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Teijin is required to purchase minimum dollar values of NeuroStar Advanced Therapy Systems and treatment sessions from us following reimbursement approval by the Japanese Ministry of Health, Labour and Welfare, or JMHLW, for TMS treatment for MDD (or, if such approval requires certified training on the NeuroStar Advanced Therapy System by a third party, then upon the first psychiatrist being issued his or her training certification).</w:t>
      </w:r>
    </w:p>
    <w:p>
      <w:pPr>
        <w:spacing w:after="0" w:line="14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2017, under our distribution agreement with Teijin, we received an upfront payment of $0.75 million and a milestone payment of $2.0 million following JMHLW’s approval of marketing the NeuroStar Advanced Therapy System for the treatment of MDD in Japan. These upfront and milestone payments have been deferred and are being recognized as revenue over the seven- and one-half year term of the agreement. Teijin is required to pay us a milestone payment tied to JMHLW issuing reimbursement for use of our products for the treatment of MDD in Japan.</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distribution agreement is scheduled to expire on March 31, 2025, subject to earlier termination if we or Teijin breach the agreement, Teijin fails to maintain distributor-level permits and approvals, Teijin fails to purchase from us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we cannot decline to renew the agreement if Teijin has purchased 100% of its sales forecasts over the term of the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are party to an employment agreement and offer letters with certain members of our executive team that provide for severance and other payments following termination of their employment for various reasons. We refer you to “Item 11. Executive Compensation” in this Annual Report on Form 10-K.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United States,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3.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 is recognized when title and risk of ownership has been transferred, provided that persuasive evidence of an arrangement exists, the price is fixed and determinable and collectability is reasonably assured. Transfer of title and risk of ownership occurs when the product is shipped or transferred to the customer. We sell to end users in the United States and to third-party distributors outside the United States and do not provide return rights. Sales to distributors outside the United States are made in U.S. dollars.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NeuroStar Advanced Therapy System sales in the United States typically have a post-sale training obligation. This obligation is fulfilled after product shipment, and we defer recognizing revenue until training occurs. In accordance with the accounting guidance related to multiple element arrangements, we defer the fair value attributable to the post shipment training and recognize such revenue when the obligation is fulfilled. We base the fair value of the training using stand-alone service rates. Our sales to our third-party distributors outside the United States do not have these post-sale obligations. Our consumable single use and accessory products have no post sale obligations and no return rights. Revenue from the sales of these products are recognized upon delivery. Revenue attributable to the NeuroStar Advanced Therapy Systems purchased on a rent-to-own basis are accounted for as operating leases and revenue is recognized on a straight-line basis over the term of the lease.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provide a one to two year warranty for systems sold in the United States. Terms of product warranty differ amongst our third-party distributors outside the United States but are generally two years. We provide for the estimated cost to repair or replace products under any warranty at the time of sale. We also offer our customers in the United States annual service contracts. Revenue from the sale of annual service contracts is recognized on a straight-line basis over the period of the applicable contract. We also earn revenue from customers from services outside of their warranty term or annual service contracts. Such service revenue is recognized as the services are provided.</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had deferred revenue of $1.9 million and $1.6 million at December 31, 2018 and 2017, respectively, primarily related to training, warranty and rent to own units. During the fourth quarter of 2017, we entered into an exclusive Distribution Agreement with Teijin Pharma Limited, which we expect will allow us to increase deliveries to Japan. In connection with the Distribution Agreement, we received an upfront payment as well as the first milestone payment, which are being recognized as revenue over the seven and a half-year term of the agreement. The last milestone payment is due upon achieving reimbursement approval in Japan. At December 31, 2018 and 2017, we had $2.3 million and $2.7 million in deferred revenue, respectively, related to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the grant-date fair value of share-based awards issued as compensation as expense on a straight-line basis over the requisite service period, which is generally the vesting period of the award. Prior to our IPO, the fair value of restricted stock awards is based on a determination by the board of directors of the estimated fair value of the common stock at the date of grant. The fair value of stock options is estimated at the time of grant using the Black-Scholes option pricing model, which requires the use of inputs and assumptions, the most critical of which prior to our IPO is the estimated fair value of our common stock.</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the amount of share-based compensation expense recognized for stock options and restricted stock awards and units to increase for future awards in future periods due to the potential increase in both the value of our common stock and the size of our company in terms of headcount.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Common Stock</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All options to purchase shares of our common stock are granted with an exercise price per share equal to or greater than the estimated fair value per share of our common stock on the date of grant, based on the information known to us on the date of grant. Prior to our IPO, on each grant date, the fair values of the shares of common stock underlying our stock options were estimated on each grant date by our board of directors, based on information known to us at the date of grant. In order to determine the estimated fair value of our common stock, our board of directors considered, among other things, contemporaneous valuations of our preferred and common stock prepared by an unrelated third-party valuation firm in accordance with the guidance provided by the American Institute of Certified Public Accountants 2013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Given the absence of a public trading market for our capital stock, our board of directors exercised reasonable judgment and considered a number of objective and subjective factors to determine the best estimate of the fair value of our preferred and common stock, including:</w:t>
      </w:r>
    </w:p>
    <w:p>
      <w:pPr>
        <w:spacing w:after="0" w:line="58" w:lineRule="exact"/>
        <w:rPr>
          <w:sz w:val="20"/>
          <w:szCs w:val="20"/>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contemporaneous third-party valuations of our preferred and common stock;</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the common stock;</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the sale of our company, given prevailing market conditions;</w:t>
      </w:r>
    </w:p>
    <w:p>
      <w:pPr>
        <w:spacing w:after="0" w:line="140" w:lineRule="exact"/>
        <w:rPr>
          <w:rFonts w:ascii="Arial" w:cs="Arial" w:eastAsia="Arial" w:hAnsi="Arial"/>
          <w:sz w:val="16"/>
          <w:szCs w:val="16"/>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marketability of our preferred and common stock;</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United States and global economic and capital market conditions and outlook.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the closing of our IPO, our board of directors has determined the per share fair value of our common stock based on the closing price of our common stock as reported by the Nasdaq Global Market on the date of grant.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avail ourselves of this exemption from complying with new or revised accounting standards and, therefore, will not be subject to the same new or revised accounting standards as other public companies that are not emerging growth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4" w:name="page95"/>
    <w:bookmarkEnd w:id="94"/>
    <w:p>
      <w:pPr>
        <w:ind w:right="100"/>
        <w:spacing w:after="0" w:line="291" w:lineRule="auto"/>
        <w:rPr>
          <w:sz w:val="20"/>
          <w:szCs w:val="20"/>
          <w:color w:val="auto"/>
        </w:rPr>
      </w:pPr>
      <w:r>
        <w:rPr>
          <w:rFonts w:ascii="Arial" w:cs="Arial" w:eastAsia="Arial" w:hAnsi="Arial"/>
          <w:sz w:val="16"/>
          <w:szCs w:val="16"/>
          <w:color w:val="auto"/>
        </w:rPr>
        <w:t>Subject to certain conditions, as an emerging growth company, we may rely on certain other exemptions and reduced reporting requirements under the JOBS Act, including without limitation (i) providing an auditor’s attestation report on our system of internal controls over financial reporting pursuant to</w:t>
      </w:r>
    </w:p>
    <w:p>
      <w:pPr>
        <w:ind w:right="40"/>
        <w:spacing w:after="0" w:line="252" w:lineRule="auto"/>
        <w:rPr>
          <w:sz w:val="20"/>
          <w:szCs w:val="20"/>
          <w:color w:val="auto"/>
        </w:rPr>
      </w:pPr>
      <w:r>
        <w:rPr>
          <w:rFonts w:ascii="Arial" w:cs="Arial" w:eastAsia="Arial" w:hAnsi="Arial"/>
          <w:sz w:val="18"/>
          <w:szCs w:val="18"/>
          <w:color w:val="auto"/>
        </w:rPr>
        <w:t>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our IPO; (c) the date on which we have issued more than $1.0 billion in nonconvertible debt during the previous six years; or (d) the date on which we are deemed to be a large accelerated filer under the rules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refer you to “Note 4. Recent Accounting Pronouncements” in our audited financial statements and related notes thereto included elsewhere in this Annual Report on Form 10-K.</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discussed above in the section of this Annual Report on Form 10-K titled “—Liquidity and Capital Resources—Indebtedness,” our credit facility bears interest at a floating per annum rate of interest, which resets monthly and is equal to the greater of (a) 8.15% or (b) the 30-day U.S. LIBOR on the last business day of the month plus 7.38%. As a result, we are exposed to risks from changes in interest rates. We believe that a one-point increase in interest rates would result in an approximate $0.3 million increase to our interest expense for the year ended December 31, 2018.</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352"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 and incorporated by reference herein.</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5" w:name="page96"/>
    <w:bookmarkEnd w:id="95"/>
    <w:p>
      <w:pPr>
        <w:spacing w:after="0"/>
        <w:tabs>
          <w:tab w:leader="none" w:pos="17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December 31, 2018.</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During the year ended December 31, 2018, there were no changes in our internal control over financial reporting (as defined in Rule 13a-15(f) of the Exchange Act) which materially affected, or are reasonably likely to materially affect, our internal control over financial reporting.</w:t>
      </w:r>
    </w:p>
    <w:p>
      <w:pPr>
        <w:spacing w:after="0" w:line="251"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“Proposal 1 - Election of Directors,” “Executive Officers of the Company,” and “Information Regarding the Board and Corporate Governance” and “Section 16(a) Beneficial Ownership Reporting Compliance” in our 2019 Proxy Statement.</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Compensation” in our 2019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“Executive Compensation” in our 2019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“Transactions with Related Persons” and “Information regarding the Board of Directors and Corporate Governance” in our 2019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“Principal Accountant Fees and Services” contained in Proposal 2 in our 2019 Proxy Statement.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listed in the Index to Financial Statements beginning on page F-1 are filed as part of this Annual Report on Form 10-K.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(a)(2) Financial Statement Schedules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listed in the Index to Financial Statements beginning on page F-1.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(a)(3) Exhibits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the Exhibit Index immediately following the signature page of this Annual Report. The exhibits listed in the Exhibit Index below are filed or incorporated by reference as part of this Annual Report.</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p>
      <w:pPr>
        <w:ind w:left="160"/>
        <w:spacing w:after="0"/>
        <w:tabs>
          <w:tab w:leader="none" w:pos="12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8" w:name="page99"/>
    <w:bookmarkEnd w:id="98"/>
    <w:p>
      <w:pPr>
        <w:jc w:val="center"/>
        <w:ind w:right="-179"/>
        <w:spacing w:after="0"/>
        <w:rPr>
          <w:sz w:val="20"/>
          <w:szCs w:val="20"/>
          <w:color w:val="auto"/>
        </w:rPr>
      </w:pPr>
      <w:r>
        <w:rPr>
          <w:rFonts w:ascii="Arial" w:cs="Arial" w:eastAsia="Arial" w:hAnsi="Arial"/>
          <w:sz w:val="18"/>
          <w:szCs w:val="18"/>
          <w:b w:val="1"/>
          <w:bCs w:val="1"/>
          <w:color w:val="auto"/>
        </w:rPr>
        <w:t>NEURONETICS, INC.</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91"/>
        </w:trPr>
        <w:tc>
          <w:tcPr>
            <w:tcW w:w="1088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Report of Independent Registered Public Accounting Firm</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F-2</w:t>
            </w:r>
          </w:p>
        </w:tc>
      </w:tr>
      <w:tr>
        <w:trPr>
          <w:trHeight w:val="331"/>
        </w:trPr>
        <w:tc>
          <w:tcPr>
            <w:tcW w:w="4220" w:type="dxa"/>
            <w:vAlign w:val="bottom"/>
            <w:tcBorders>
              <w:top w:val="single" w:sz="8" w:color="0000EE"/>
            </w:tcBorders>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Balance Sheets</w:t>
              </w:r>
            </w:hyperlink>
          </w:p>
        </w:tc>
        <w:tc>
          <w:tcPr>
            <w:tcW w:w="6660" w:type="dxa"/>
            <w:vAlign w:val="bottom"/>
            <w:gridSpan w:val="2"/>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Statements of Operations</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F-4</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Statements of Changes in Convertible Preferred Stock and Stockholders’ Equity (Deficit)</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F-5</w:t>
            </w:r>
          </w:p>
        </w:tc>
      </w:tr>
      <w:tr>
        <w:trPr>
          <w:trHeight w:val="331"/>
        </w:trPr>
        <w:tc>
          <w:tcPr>
            <w:tcW w:w="6440" w:type="dxa"/>
            <w:vAlign w:val="bottom"/>
            <w:tcBorders>
              <w:top w:val="single" w:sz="8" w:color="0000EE"/>
            </w:tcBorders>
            <w:gridSpan w:val="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Statements of Cash Flows</w:t>
              </w:r>
            </w:hyperlink>
          </w:p>
        </w:tc>
        <w:tc>
          <w:tcPr>
            <w:tcW w:w="44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7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Notes to Financial Statements</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F-7</w:t>
            </w:r>
          </w:p>
        </w:tc>
      </w:tr>
      <w:tr>
        <w:trPr>
          <w:trHeight w:val="831"/>
        </w:trPr>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66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Neuronetics,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balance sheets of Neuronetics, Inc. (the Company) as of December 31, 2018 and 2017, the related statements of operations, changes in convertible preferred stock and stockholders’ equity (deficit), and cash flows for each of the years in the three-year period ended December 31, 2018, and the related notes (collectively, the financial statements). In our opinion, the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00" w:name="page101"/>
    <w:bookmarkEnd w:id="100"/>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Borders>
              <w:bottom w:val="single" w:sz="8" w:color="CFF0FC"/>
            </w:tcBorders>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6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Assets</w:t>
            </w:r>
          </w:p>
        </w:tc>
        <w:tc>
          <w:tcPr>
            <w:tcW w:w="3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3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104,583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60"/>
              <w:spacing w:after="0"/>
              <w:rPr>
                <w:sz w:val="20"/>
                <w:szCs w:val="20"/>
                <w:color w:val="auto"/>
              </w:rPr>
            </w:pPr>
            <w:r>
              <w:rPr>
                <w:rFonts w:ascii="Arial" w:cs="Arial" w:eastAsia="Arial" w:hAnsi="Arial"/>
                <w:sz w:val="16"/>
                <w:szCs w:val="16"/>
                <w:color w:val="auto"/>
              </w:rPr>
              <w:t>Accounts receivable, net</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3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shd w:val="clear" w:color="auto" w:fill="CFF0FC"/>
          </w:tcPr>
          <w:p>
            <w:pPr>
              <w:spacing w:after="0"/>
              <w:rPr>
                <w:sz w:val="18"/>
                <w:szCs w:val="18"/>
                <w:color w:val="auto"/>
              </w:rPr>
            </w:pPr>
          </w:p>
        </w:tc>
        <w:tc>
          <w:tcPr>
            <w:tcW w:w="472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current assets</w:t>
            </w:r>
          </w:p>
        </w:tc>
        <w:tc>
          <w:tcPr>
            <w:tcW w:w="3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114,473</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1,378</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3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472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3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117,022</w:t>
            </w:r>
          </w:p>
        </w:tc>
        <w:tc>
          <w:tcPr>
            <w:tcW w:w="300" w:type="dxa"/>
            <w:vAlign w:val="bottom"/>
          </w:tcPr>
          <w:p>
            <w:pPr>
              <w:spacing w:after="0"/>
              <w:rPr>
                <w:sz w:val="21"/>
                <w:szCs w:val="21"/>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5160" w:type="dxa"/>
            <w:vAlign w:val="bottom"/>
            <w:tcBorders>
              <w:top w:val="single" w:sz="8" w:color="CFF0FC"/>
              <w:bottom w:val="single" w:sz="8" w:color="auto"/>
            </w:tcBorders>
            <w:gridSpan w:val="2"/>
            <w:shd w:val="clear" w:color="auto" w:fill="CFF0FC"/>
          </w:tcPr>
          <w:p>
            <w:pPr>
              <w:spacing w:after="0" w:line="159" w:lineRule="exact"/>
              <w:rPr>
                <w:sz w:val="20"/>
                <w:szCs w:val="20"/>
                <w:color w:val="auto"/>
              </w:rPr>
            </w:pPr>
            <w:r>
              <w:rPr>
                <w:rFonts w:ascii="Arial" w:cs="Arial" w:eastAsia="Arial" w:hAnsi="Arial"/>
                <w:sz w:val="16"/>
                <w:szCs w:val="16"/>
                <w:b w:val="1"/>
                <w:bCs w:val="1"/>
                <w:color w:val="auto"/>
                <w:w w:val="92"/>
              </w:rPr>
              <w:t>Liabilities, Convertible Preferred Stock and Stockholders’ Equity (Deficit)</w:t>
            </w:r>
          </w:p>
        </w:tc>
        <w:tc>
          <w:tcPr>
            <w:tcW w:w="328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6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Current liabilities:</w:t>
            </w:r>
          </w:p>
        </w:tc>
        <w:tc>
          <w:tcPr>
            <w:tcW w:w="32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7,548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3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2,255</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CFF0FC"/>
            </w:tcBorders>
          </w:tcPr>
          <w:p>
            <w:pPr>
              <w:spacing w:after="0"/>
              <w:rPr>
                <w:sz w:val="17"/>
                <w:szCs w:val="17"/>
                <w:color w:val="auto"/>
              </w:rPr>
            </w:pPr>
          </w:p>
        </w:tc>
        <w:tc>
          <w:tcPr>
            <w:tcW w:w="4720" w:type="dxa"/>
            <w:vAlign w:val="bottom"/>
            <w:tcBorders>
              <w:bottom w:val="single" w:sz="8" w:color="CFF0FC"/>
            </w:tcBorders>
          </w:tcPr>
          <w:p>
            <w:pPr>
              <w:ind w:left="60"/>
              <w:spacing w:after="0"/>
              <w:rPr>
                <w:sz w:val="20"/>
                <w:szCs w:val="20"/>
                <w:color w:val="auto"/>
              </w:rPr>
            </w:pPr>
            <w:r>
              <w:rPr>
                <w:rFonts w:ascii="Arial" w:cs="Arial" w:eastAsia="Arial" w:hAnsi="Arial"/>
                <w:sz w:val="16"/>
                <w:szCs w:val="16"/>
                <w:color w:val="auto"/>
              </w:rPr>
              <w:t>Total current liabilities</w:t>
            </w:r>
          </w:p>
        </w:tc>
        <w:tc>
          <w:tcPr>
            <w:tcW w:w="32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13,559</w:t>
            </w:r>
          </w:p>
        </w:tc>
        <w:tc>
          <w:tcPr>
            <w:tcW w:w="3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debt, net</w:t>
            </w:r>
          </w:p>
        </w:tc>
        <w:tc>
          <w:tcPr>
            <w:tcW w:w="3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30,395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rent</w:t>
            </w:r>
          </w:p>
        </w:tc>
        <w:tc>
          <w:tcPr>
            <w:tcW w:w="3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Convertible preferred stock warrant liability</w:t>
            </w:r>
          </w:p>
        </w:tc>
        <w:tc>
          <w:tcPr>
            <w:tcW w:w="3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shd w:val="clear" w:color="auto" w:fill="CFF0FC"/>
          </w:tcPr>
          <w:p>
            <w:pPr>
              <w:spacing w:after="0"/>
              <w:rPr>
                <w:sz w:val="18"/>
                <w:szCs w:val="18"/>
                <w:color w:val="auto"/>
              </w:rPr>
            </w:pPr>
          </w:p>
        </w:tc>
        <w:tc>
          <w:tcPr>
            <w:tcW w:w="4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Total Liabilities</w:t>
            </w:r>
          </w:p>
        </w:tc>
        <w:tc>
          <w:tcPr>
            <w:tcW w:w="3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45,980</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 $0.01 par value: 308,593 shares previously</w:t>
            </w:r>
          </w:p>
        </w:tc>
        <w:tc>
          <w:tcPr>
            <w:tcW w:w="3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authorized prior to initial public offering, issuable in series; no</w:t>
            </w:r>
          </w:p>
        </w:tc>
        <w:tc>
          <w:tcPr>
            <w:tcW w:w="3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and 304,958 shares issued and outstanding at December 31, 2018</w:t>
            </w:r>
          </w:p>
        </w:tc>
        <w:tc>
          <w:tcPr>
            <w:tcW w:w="3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and 2017, respectively; no liquidation value at December 31, 2018</w:t>
            </w:r>
          </w:p>
        </w:tc>
        <w:tc>
          <w:tcPr>
            <w:tcW w:w="3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spacing w:after="0"/>
              <w:rPr>
                <w:sz w:val="20"/>
                <w:szCs w:val="20"/>
                <w:color w:val="auto"/>
              </w:rPr>
            </w:pPr>
            <w:r>
              <w:rPr>
                <w:rFonts w:ascii="Arial" w:cs="Arial" w:eastAsia="Arial" w:hAnsi="Arial"/>
                <w:sz w:val="16"/>
                <w:szCs w:val="16"/>
                <w:color w:val="auto"/>
              </w:rPr>
              <w:t>Stockholders’ Equity (Deficit):</w:t>
            </w: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98"/>
              </w:rPr>
              <w:t>Preferred stock, $0.01 par value: 10,000 shares authorized; no shares</w:t>
            </w:r>
          </w:p>
        </w:tc>
        <w:tc>
          <w:tcPr>
            <w:tcW w:w="3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w w:val="99"/>
              </w:rPr>
              <w:t>issued or outstanding at December 31, 2018 and 2017, respectively</w:t>
            </w:r>
          </w:p>
        </w:tc>
        <w:tc>
          <w:tcPr>
            <w:tcW w:w="3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ind w:left="260"/>
              <w:spacing w:after="0"/>
              <w:rPr>
                <w:sz w:val="20"/>
                <w:szCs w:val="20"/>
                <w:color w:val="auto"/>
              </w:rPr>
            </w:pPr>
            <w:r>
              <w:rPr>
                <w:rFonts w:ascii="Arial" w:cs="Arial" w:eastAsia="Arial" w:hAnsi="Arial"/>
                <w:sz w:val="16"/>
                <w:szCs w:val="16"/>
                <w:color w:val="auto"/>
              </w:rPr>
              <w:t>Common stock, $0.01 par value: 200,000 shares authorized; 17,744</w:t>
            </w: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80"/>
              <w:spacing w:after="0"/>
              <w:rPr>
                <w:sz w:val="20"/>
                <w:szCs w:val="20"/>
                <w:color w:val="auto"/>
              </w:rPr>
            </w:pPr>
            <w:r>
              <w:rPr>
                <w:rFonts w:ascii="Arial" w:cs="Arial" w:eastAsia="Arial" w:hAnsi="Arial"/>
                <w:sz w:val="16"/>
                <w:szCs w:val="16"/>
                <w:color w:val="auto"/>
              </w:rPr>
              <w:t>and 231 shares issued and outstanding at December 31, 2018</w:t>
            </w: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380"/>
              <w:spacing w:after="0"/>
              <w:rPr>
                <w:sz w:val="20"/>
                <w:szCs w:val="20"/>
                <w:color w:val="auto"/>
              </w:rPr>
            </w:pPr>
            <w:r>
              <w:rPr>
                <w:rFonts w:ascii="Arial" w:cs="Arial" w:eastAsia="Arial" w:hAnsi="Arial"/>
                <w:sz w:val="16"/>
                <w:szCs w:val="16"/>
                <w:color w:val="auto"/>
              </w:rPr>
              <w:t>and 2017, respectively</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3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291,908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60"/>
              <w:spacing w:after="0"/>
              <w:rPr>
                <w:sz w:val="20"/>
                <w:szCs w:val="20"/>
                <w:color w:val="auto"/>
              </w:rPr>
            </w:pPr>
            <w:r>
              <w:rPr>
                <w:rFonts w:ascii="Arial" w:cs="Arial" w:eastAsia="Arial" w:hAnsi="Arial"/>
                <w:sz w:val="16"/>
                <w:szCs w:val="16"/>
                <w:color w:val="auto"/>
              </w:rPr>
              <w:t>Accumulated deficit</w:t>
            </w: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(221,043)</w:t>
            </w: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(196,946)</w:t>
            </w:r>
          </w:p>
        </w:tc>
        <w:tc>
          <w:tcPr>
            <w:tcW w:w="0" w:type="dxa"/>
            <w:vAlign w:val="bottom"/>
          </w:tcPr>
          <w:p>
            <w:pPr>
              <w:spacing w:after="0"/>
              <w:rPr>
                <w:sz w:val="1"/>
                <w:szCs w:val="1"/>
                <w:color w:val="auto"/>
              </w:rPr>
            </w:pPr>
          </w:p>
        </w:tc>
      </w:tr>
      <w:tr>
        <w:trPr>
          <w:trHeight w:val="20"/>
        </w:trPr>
        <w:tc>
          <w:tcPr>
            <w:tcW w:w="440" w:type="dxa"/>
            <w:vAlign w:val="bottom"/>
            <w:shd w:val="clear" w:color="auto" w:fill="CFF0FC"/>
          </w:tcPr>
          <w:p>
            <w:pPr>
              <w:spacing w:after="0" w:line="20" w:lineRule="exact"/>
              <w:rPr>
                <w:sz w:val="1"/>
                <w:szCs w:val="1"/>
                <w:color w:val="auto"/>
              </w:rPr>
            </w:pPr>
          </w:p>
        </w:tc>
        <w:tc>
          <w:tcPr>
            <w:tcW w:w="4720" w:type="dxa"/>
            <w:vAlign w:val="bottom"/>
            <w:vMerge w:val="restart"/>
            <w:shd w:val="clear" w:color="auto" w:fill="CFF0FC"/>
          </w:tcPr>
          <w:p>
            <w:pPr>
              <w:ind w:left="300"/>
              <w:spacing w:after="0"/>
              <w:rPr>
                <w:sz w:val="20"/>
                <w:szCs w:val="20"/>
                <w:color w:val="auto"/>
              </w:rPr>
            </w:pPr>
            <w:r>
              <w:rPr>
                <w:rFonts w:ascii="Arial" w:cs="Arial" w:eastAsia="Arial" w:hAnsi="Arial"/>
                <w:sz w:val="16"/>
                <w:szCs w:val="16"/>
                <w:color w:val="auto"/>
              </w:rPr>
              <w:t>Total Stockholders' Equity (Deficit)</w:t>
            </w:r>
          </w:p>
        </w:tc>
        <w:tc>
          <w:tcPr>
            <w:tcW w:w="3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0" w:type="dxa"/>
            <w:vAlign w:val="bottom"/>
            <w:shd w:val="clear" w:color="auto" w:fill="CFF0FC"/>
          </w:tcPr>
          <w:p>
            <w:pPr>
              <w:spacing w:after="0"/>
              <w:rPr>
                <w:sz w:val="18"/>
                <w:szCs w:val="18"/>
                <w:color w:val="auto"/>
              </w:rPr>
            </w:pPr>
          </w:p>
        </w:tc>
        <w:tc>
          <w:tcPr>
            <w:tcW w:w="4720" w:type="dxa"/>
            <w:vAlign w:val="bottom"/>
            <w:vMerge w:val="continue"/>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71,042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(192,652)</w:t>
            </w: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4720" w:type="dxa"/>
            <w:vAlign w:val="bottom"/>
          </w:tcPr>
          <w:p>
            <w:pPr>
              <w:ind w:left="300"/>
              <w:spacing w:after="0"/>
              <w:rPr>
                <w:sz w:val="20"/>
                <w:szCs w:val="20"/>
                <w:color w:val="auto"/>
              </w:rPr>
            </w:pPr>
            <w:r>
              <w:rPr>
                <w:rFonts w:ascii="Arial" w:cs="Arial" w:eastAsia="Arial" w:hAnsi="Arial"/>
                <w:sz w:val="16"/>
                <w:szCs w:val="16"/>
                <w:color w:val="auto"/>
                <w:w w:val="99"/>
              </w:rPr>
              <w:t>Total Liabilities, Convertible Preferred Stock and Stockholders’</w:t>
            </w:r>
          </w:p>
        </w:tc>
        <w:tc>
          <w:tcPr>
            <w:tcW w:w="3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6"/>
                <w:szCs w:val="16"/>
                <w:color w:val="auto"/>
              </w:rPr>
              <w:t>Equity (Deficit)</w:t>
            </w:r>
          </w:p>
        </w:tc>
        <w:tc>
          <w:tcPr>
            <w:tcW w:w="3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117,022</w:t>
            </w:r>
          </w:p>
        </w:tc>
        <w:tc>
          <w:tcPr>
            <w:tcW w:w="30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26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52,776</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4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12,447</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4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30,801</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4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4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60,163</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44,409</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Loss from Operations</w:t>
            </w: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3"/>
              </w:rPr>
              <w:t>(19,834)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(13,608)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(9,337)</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6"/>
                <w:szCs w:val="16"/>
                <w:color w:val="auto"/>
              </w:rPr>
              <w:t>Other (income) expense:</w:t>
            </w:r>
          </w:p>
        </w:tc>
        <w:tc>
          <w:tcPr>
            <w:tcW w:w="14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(357)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14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FF0FC"/>
          </w:tcPr>
          <w:p>
            <w:pPr>
              <w:spacing w:after="0"/>
              <w:rPr>
                <w:sz w:val="18"/>
                <w:szCs w:val="18"/>
                <w:color w:val="auto"/>
              </w:rPr>
            </w:pPr>
          </w:p>
        </w:tc>
        <w:tc>
          <w:tcPr>
            <w:tcW w:w="226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3"/>
              </w:rPr>
              <w:t>(24,097)</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(16,059)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(11,234)</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 outstanding, basic and</w:t>
            </w:r>
          </w:p>
        </w:tc>
        <w:tc>
          <w:tcPr>
            <w:tcW w:w="14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Pr>
          <w:p>
            <w:pPr>
              <w:ind w:left="120"/>
              <w:spacing w:after="0"/>
              <w:rPr>
                <w:sz w:val="20"/>
                <w:szCs w:val="20"/>
                <w:color w:val="auto"/>
              </w:rPr>
            </w:pPr>
            <w:r>
              <w:rPr>
                <w:rFonts w:ascii="Arial" w:cs="Arial" w:eastAsia="Arial" w:hAnsi="Arial"/>
                <w:sz w:val="16"/>
                <w:szCs w:val="16"/>
                <w:color w:val="auto"/>
              </w:rPr>
              <w:t>diluted</w:t>
            </w:r>
          </w:p>
        </w:tc>
        <w:tc>
          <w:tcPr>
            <w:tcW w:w="2260" w:type="dxa"/>
            <w:vAlign w:val="bottom"/>
            <w:gridSpan w:val="2"/>
          </w:tcPr>
          <w:p>
            <w:pPr>
              <w:jc w:val="right"/>
              <w:ind w:right="648"/>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(2.69)</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(86.34)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(76.95)</w:t>
            </w:r>
          </w:p>
        </w:tc>
        <w:tc>
          <w:tcPr>
            <w:tcW w:w="0" w:type="dxa"/>
            <w:vAlign w:val="bottom"/>
          </w:tcPr>
          <w:p>
            <w:pPr>
              <w:spacing w:after="0"/>
              <w:rPr>
                <w:sz w:val="1"/>
                <w:szCs w:val="1"/>
                <w:color w:val="auto"/>
              </w:rPr>
            </w:pPr>
          </w:p>
        </w:tc>
      </w:tr>
      <w:tr>
        <w:trPr>
          <w:trHeight w:val="19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 outstanding, basic and</w:t>
            </w:r>
          </w:p>
        </w:tc>
        <w:tc>
          <w:tcPr>
            <w:tcW w:w="146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4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8,948</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Statement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0" w:type="dxa"/>
            <w:vAlign w:val="bottom"/>
            <w:tcBorders>
              <w:right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86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00" w:type="dxa"/>
            <w:vAlign w:val="bottom"/>
            <w:tcBorders>
              <w:right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Equity (Deficit)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2015</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172,311</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(169,653)</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(166,118)</w:t>
            </w: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Issuance of restricted stock</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awards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Exercises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(11,234)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(11,234)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Balance at December 31, 2016</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264,374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172,311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(180,887)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(177,124)</w:t>
            </w:r>
          </w:p>
        </w:tc>
        <w:tc>
          <w:tcPr>
            <w:tcW w:w="0" w:type="dxa"/>
            <w:vAlign w:val="bottom"/>
          </w:tcPr>
          <w:p>
            <w:pPr>
              <w:spacing w:after="0"/>
              <w:rPr>
                <w:sz w:val="1"/>
                <w:szCs w:val="1"/>
                <w:color w:val="auto"/>
              </w:rPr>
            </w:pPr>
          </w:p>
        </w:tc>
      </w:tr>
      <w:tr>
        <w:trPr>
          <w:trHeight w:val="203"/>
        </w:trPr>
        <w:tc>
          <w:tcPr>
            <w:tcW w:w="4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Issuance of Series G</w:t>
            </w: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convertible preferred stock, net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issuance costs of $175</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14,825</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Issuance of restricted stock</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awards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Exercises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(16,059)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Balance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304,958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187,136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(196,946)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(192,652)</w:t>
            </w:r>
          </w:p>
        </w:tc>
        <w:tc>
          <w:tcPr>
            <w:tcW w:w="0" w:type="dxa"/>
            <w:vAlign w:val="bottom"/>
          </w:tcPr>
          <w:p>
            <w:pPr>
              <w:spacing w:after="0"/>
              <w:rPr>
                <w:sz w:val="1"/>
                <w:szCs w:val="1"/>
                <w:color w:val="auto"/>
              </w:rPr>
            </w:pPr>
          </w:p>
        </w:tc>
      </w:tr>
      <w:tr>
        <w:trPr>
          <w:trHeight w:val="203"/>
        </w:trPr>
        <w:tc>
          <w:tcPr>
            <w:tcW w:w="4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Conversion of convertible</w:t>
            </w: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preferred stock into</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(304,958)</w:t>
            </w:r>
          </w:p>
        </w:tc>
        <w:tc>
          <w:tcPr>
            <w:tcW w:w="120" w:type="dxa"/>
            <w:vAlign w:val="bottom"/>
            <w:shd w:val="clear" w:color="auto" w:fill="CFF0FC"/>
          </w:tcPr>
          <w:p>
            <w:pPr>
              <w:spacing w:after="0"/>
              <w:rPr>
                <w:sz w:val="18"/>
                <w:szCs w:val="18"/>
                <w:color w:val="auto"/>
              </w:rPr>
            </w:pPr>
          </w:p>
        </w:tc>
        <w:tc>
          <w:tcPr>
            <w:tcW w:w="8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(187,136)</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Conversion of convertible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preferred stock warrants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into common stock</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warrants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initial public offering, net of</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issuance costs of $3,463</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Exercises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(24,097)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(24,097)</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291,908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(221,043)</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(24,097)</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(16,059)</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(11,234)</w:t>
            </w: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Non-cash interest expense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convertible preferred stock warrant</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liability</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Cost of rental units purchased by customers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certain assets and liabilities: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Accounts receivable, net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(690)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Accrued expenses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Deferred rent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(20,591)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(11,144)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 and capitalized</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software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(594)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(1,011)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(594)</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in initial</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public offering</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public offering costs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(3,463)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Proceeds from exercises of stock options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Series G convertible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preferred stock, net</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Borrowings under credit facilities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debt issuance costs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(1,015)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10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97,038</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23,845</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Increase (Decrease) in Cash and Cash</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Equivalents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Cash and Cash Equivalents, Beginning of Year</w:t>
            </w:r>
          </w:p>
        </w:tc>
        <w:tc>
          <w:tcPr>
            <w:tcW w:w="10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29,147</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Cash and Cash Equivalents, End of Year</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104,583</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2,786</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Transfer of inventory to property and equipment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capitalized</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software in accounts payable and accrued expenses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Conversion of convertible preferred stock into</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Conversion of convertible preferred stock warrants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into common stock warrants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1,874</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public offering costs included in accounts payable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accrued expenses</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Allocation of proceeds from debt financing to convertible</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380"/>
              <w:spacing w:after="0"/>
              <w:rPr>
                <w:sz w:val="20"/>
                <w:szCs w:val="20"/>
                <w:color w:val="auto"/>
              </w:rPr>
            </w:pPr>
            <w:r>
              <w:rPr>
                <w:rFonts w:ascii="Arial" w:cs="Arial" w:eastAsia="Arial" w:hAnsi="Arial"/>
                <w:sz w:val="16"/>
                <w:szCs w:val="16"/>
                <w:color w:val="auto"/>
              </w:rPr>
              <w:t>preferred stock warrant liability</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33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July 2, 2018, the Company closed its initial public offering, or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The Company’s common stock is listed on the Nasdaq Global Market under the trading symbol “STIM.” In addition, immediately prior to the closing of the IPO on July 2, 2018, (i) all of the Company’s outstanding shares of convertible preferred stock converted into an aggregate 11.0 million shares of common stock;</w:t>
      </w:r>
    </w:p>
    <w:p>
      <w:pPr>
        <w:spacing w:after="0" w:line="2" w:lineRule="exact"/>
        <w:rPr>
          <w:sz w:val="20"/>
          <w:szCs w:val="20"/>
          <w:color w:val="auto"/>
        </w:rPr>
      </w:pPr>
    </w:p>
    <w:p>
      <w:pPr>
        <w:ind w:right="100" w:firstLine="8"/>
        <w:spacing w:after="0" w:line="254"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2018, the Company had cash and cash equivalents of $104.6 million and an accumulated deficit of $221.0 million. The Company incurred negative cash flows from operating activities of $20.6 million, $11.1 million and $8.5 million for the years ended December 31, 2018, 2017 and 2016, respectively.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IPO, private placements of its convertible preferred securities, borrowings under its credit facilities and revenues from sales of its products. As of December 31, 2018, the Company had $30.0 million of borrowings outstanding under its credit facility, which matures in March 2022. Management believes that the Company’s cash and cash equivalents as of December 31, 2018 and anticipated revenues from sales of its products are sufficient to fund the Company’s operations for at least the next 24 months after December 31, 2018.</w:t>
      </w:r>
    </w:p>
    <w:p>
      <w:pPr>
        <w:spacing w:after="0" w:line="30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financial statements in accordance with GAAP and the rules and regulations of the United States Securities and Exchange Commission, or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 The most significant estimates and judgments impact share-based compensation and the valuation of common stock prior to the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12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Company effected a 0.0345-for-1 reverse split of its common stock on June 14, 2018. The reverse split combined each approximately 29 shares of the Company’s issued and outstanding common stock into one share of common stock and correspondingly adjusted the conversion price of its outstanding convertible preferred stock. No fractional shares were issued in connection with the reverse split. Any fractional share resulting from the reverse split was rounded down to the nearest whole share, and in lieu of any fractional share, the Company paid in cash to the holders of such fractional shares an amount equal to the fair market value, as determined by the board of directors, of such fractional shares. All share, per share and related information presented in these financial statements and the related notes thereto have been retroactively adjusted, where applicable, to reflect the reverse stock split.</w:t>
      </w:r>
    </w:p>
    <w:p>
      <w:pPr>
        <w:spacing w:after="0" w:line="269" w:lineRule="exact"/>
        <w:rPr>
          <w:sz w:val="20"/>
          <w:szCs w:val="20"/>
          <w:color w:val="auto"/>
        </w:rPr>
      </w:pPr>
    </w:p>
    <w:p>
      <w:pPr>
        <w:ind w:right="6260" w:firstLine="8"/>
        <w:spacing w:after="0" w:line="378" w:lineRule="auto"/>
        <w:tabs>
          <w:tab w:leader="none" w:pos="44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right="8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2018 and 2017, cash equivalents consisted of money market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cash is held on deposit in demand accounts at a large financial institution in amounts in excess of the Federal Deposit Insurance Corporation, or FDIC, insurance coverage limit of $250,000 per depositor, per FDIC-insured bank, per ownership category. Management has reviewed the financial statements of this institution and believes it has sufficient assets and liquidity to conduct its operations in the ordinary course of business with little or no credit risk to the Company.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Inventory is stated at the lower of cost and net realizable value, with cost being determined on a first in, first out basis. The Company’s inventory is primarily comprised of finished goods.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and Capitalized Software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Property and equipment are recorded at cost. Maintenance and repairs are charged to expense as incurred and costs of improvements and renewals are capitalized. Depreciation and amortization are recognized using the straight-line method based on the estimated useful lives of the related assets. The Company uses an estimated useful life of three years for computers and software, five years for laboratory and office equipment, six years for devices in the rental agreement program and the lesser of five years or the remaining life of the underlying facility lease for leasehold improvements.</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Software development costs relating to assets to be sold in the normal course of business are included in research and development and are expensed as incurred until technological feasibility is established. After technological feasibility is established, material software development costs are capitalized. The Company uses an estimated useful life of two years for capitalized software and amortizes these costs beginning at the product release.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Long-lived assets, such as property and equipment, are tested for impairment when events or changes in circumstances indicate that the carrying value of the asset may not be recoverable. Impairment testing requires management to estimate the future net undiscounted cash flows of an asset using assumptions believed to be reasonable. Actual cash flows may differ from the estimates used in the impairment testing. If such assets are considered to be impaired, the Company recognizes an impairment loss when and to the extent that the estimated fair value of an asset is less than its carrying value. The Company has not recorded any impairment of its long-lived assets for the years ended December 31, 2018, 2017, and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current and previous credit facilities required the Company to issue to the lender of warrants to purchase the Company’s convertible preferred stock at the date of borrowing. Because the convertible preferred stock warrants were a form of a contingently redeemable instrument, they were classified as liabilities on the Company’s balance sheet. At the date of borrowing, the Company bifurcated the estimated fair value of the convertible preferred stock warrants from the proceeds from borrowing, resulting in the recognition of a debt discount, and recorded a warrant liability on its balance sheet. This warrant liability was revalued at each reporting period, with changes in fair value recorded in the Company’s statement of operations as a component of other income or expense. The valuation of the warrant liability was based upon estimates of the fair value of the underlying convertible preferred stock and the related volatility and expected term for an illiquid instrument, which could vary significantly from period to period.</w:t>
      </w:r>
    </w:p>
    <w:p>
      <w:pPr>
        <w:spacing w:after="0" w:line="16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Immediately prior to the closing of the IPO on July 2, 2018, all of the Company’s outstanding convertible preferred stock warrants converted into common stock warrants. The warrant liability was remeasured at its estimated fair value and reclassified to additional paid-in capital on the Company’s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capitalizes direct costs incurred to obtain debt financing and amortizes these costs to interest expense over the term of the debt using the effective interest method. These costs are recorded as a debt discount are netted against the related debt on the Company’s balance sheet.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 is recognized when title and risk of ownership has been transferred, provided that persuasive evidence of an arrangement exists, the price is fixed and determinable and collectability is reasonably assured. Transfer of title and risk of ownership occurs when the product is shipped or transferred to the customer. The Company sells to end users in the United States and to third-party distributors outside the United States and does not provide return rights. Sales to distributors outside the United States are in U.S. dollars.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generates revenues from sales of NeuroStar Advanced Therapy Systems and treatment sessions. NeuroStar Advanced Therapy System revenue consists primarily of a capital component, including updates to the equipment, attributable to the initial sale of the NeuroStar system unit. NeuroStar Advanced Therapy Systems can be purchased outright or on a rent-to-own basis by certain customers. Treatment session revenue primarily includes sales of NeuroStar treatment sessions and SenStar treatment links. The NeuroStar treatment sessions are access codes delivered electronically in the United States. The SenStar treatment links are disposable units containing single-use access codes that are sold and used outside the United States. Access codes are purchased separately by customers, primarily on an as-needed basis, and are required by the NeuroStar Advanced Therapy System in order to deliver the treatment sessions.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NeuroStar Advanced Therapy System sales in the United States typically have a post-sale training obligation. This obligation is fulfilled after product shipment, and the Company defers recognizing revenue until training occurs. In accordance with the accounting guidance related to multiple element arrangements, the Company defers the fair value attributable to the post-shipment training and recognizes such revenue when the obligation is fulfilled. The Company bases the fair value of the training using stand-alone service rates. The Company’s sales to its third-party distributors outside the United States do not have these post-sale obligations. The Company’s treatment sessions have no post-sale obligations and no return rights. Revenues on the sales of treatment sessions are recognized upon delivery. Revenue related to operating leases for the Company’s NeuroStar Advanced Therapy System is recognized over the term of the lease. Revenue attributable to the NeuroStar Advanced Therapy Systems purchased on a rent-to-own basis are accounted for as operating leases and revenue is recognized on a straight-line basis over the term of the lease.</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provides a one to two-year warranty for systems sold in the United States. Terms of product warranty differ amongst its third-party distributors outside the United States but are generally three years or less. The Company provides for the estimated cost to repair or replace products under any warranty at the time of sale. The Company also offers its customers in the United States annual service contracts. Revenue from the sale of annual service contracts is recognized on a straight-line basis over the period of the applicable contract. The Company also earns revenue from customers from services outside of their warranty term or annual service contracts. Such service revenue is recognized as the services are provided.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Research and development activities are expensed as incurred. Costs incurred in obtaining technology licenses are charged immediately to research and development expense if the technology licensed has not reached technological feasibility and has no alternative future uses.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recognizes the grant-date fair value of share-based awards issued as compensation as expense on a straight-line basis over the requisite service period, which is generally the vesting period of the award. To date, the Company has not issued awards where vesting is subject to market conditions. There was one performance grant in 2018 to the board of directors subject to completion of the IPO, which was achieved in July 2018. The fair value of restricted stock awards and restricted stock units is estimated at the time of grant, based on the grant date fair value of the Company’s common stock. The fair value of stock options is estimated at the time of grant using the Black-Scholes option pricing model, which requires the use of inputs and assumptions such as the fair value of the underlying common stock, exercise price of the option, expected term, risk-free interest rate, expected volatility and dividend yield, the most critical of which is the fair value of the Company’s common stock prior to the IPO.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fair value of each grant of stock options awarded during the years ended December 31, 2018, 2017 and 2016 was determined using the following methods and assumptions:</w:t>
      </w:r>
    </w:p>
    <w:p>
      <w:pPr>
        <w:spacing w:after="0" w:line="62" w:lineRule="exact"/>
        <w:rPr>
          <w:sz w:val="20"/>
          <w:szCs w:val="20"/>
          <w:color w:val="auto"/>
        </w:rPr>
      </w:pPr>
    </w:p>
    <w:p>
      <w:pPr>
        <w:ind w:left="1200" w:hanging="449"/>
        <w:spacing w:after="0" w:line="255"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Prior to the IPO, its board of directors periodically estimated the fair value of the Company’s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considering, among other things, contemporaneous valuations of its preferred and common stock prepared by an unrelated third-party valuation firm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Since the closing of the IPO, its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per share fair value of the Company’s common stock based on the closing price as reported by the Nasdaq Global Market on the date of grant.</w:t>
      </w:r>
    </w:p>
    <w:p>
      <w:pPr>
        <w:spacing w:after="0" w:line="85" w:lineRule="exact"/>
        <w:rPr>
          <w:rFonts w:ascii="Arial" w:cs="Arial" w:eastAsia="Arial" w:hAnsi="Arial"/>
          <w:sz w:val="18"/>
          <w:szCs w:val="18"/>
          <w:color w:val="auto"/>
        </w:rPr>
      </w:pPr>
    </w:p>
    <w:p>
      <w:pPr>
        <w:ind w:left="1200" w:right="80" w:hanging="449"/>
        <w:spacing w:after="0" w:line="302" w:lineRule="auto"/>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Due to the historical lack of a public market for the trading of the Company’s common stock and the lack of sufficient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company-specific historical data, the expected term of employee stock options is determined using the “simplified” method, as prescribed in SEC Staff Accounting Bulletin (SAB) No. 107 (SAB 107), whereby the expected life equals the arithmetic average of the vesting term and the original contractual term of the option. The expected term of nonemployee stock options is equal to the contractual term.</w:t>
      </w:r>
    </w:p>
    <w:p>
      <w:pPr>
        <w:spacing w:after="0" w:line="46" w:lineRule="exact"/>
        <w:rPr>
          <w:rFonts w:ascii="Arial" w:cs="Arial" w:eastAsia="Arial" w:hAnsi="Arial"/>
          <w:sz w:val="16"/>
          <w:szCs w:val="16"/>
          <w:color w:val="auto"/>
        </w:rPr>
      </w:pPr>
    </w:p>
    <w:p>
      <w:pPr>
        <w:ind w:left="1200" w:right="140" w:hanging="44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interest rate payable on United States Treasury securities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grant for a period that is commensurate with the assumed expected term.</w:t>
      </w:r>
    </w:p>
    <w:p>
      <w:pPr>
        <w:spacing w:after="0" w:line="62" w:lineRule="exact"/>
        <w:rPr>
          <w:rFonts w:ascii="Arial" w:cs="Arial" w:eastAsia="Arial" w:hAnsi="Arial"/>
          <w:sz w:val="18"/>
          <w:szCs w:val="18"/>
          <w:color w:val="auto"/>
        </w:rPr>
      </w:pPr>
    </w:p>
    <w:p>
      <w:pPr>
        <w:ind w:left="1200" w:right="40" w:hanging="44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expected volatility is based on historical volatilities of peer companies within the Company’s industry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commensurate with the expected term assumption, as described in SAB 107.</w:t>
      </w:r>
    </w:p>
    <w:p>
      <w:pPr>
        <w:spacing w:after="0" w:line="62" w:lineRule="exact"/>
        <w:rPr>
          <w:rFonts w:ascii="Arial" w:cs="Arial" w:eastAsia="Arial" w:hAnsi="Arial"/>
          <w:sz w:val="18"/>
          <w:szCs w:val="18"/>
          <w:color w:val="auto"/>
        </w:rPr>
      </w:pPr>
    </w:p>
    <w:p>
      <w:pPr>
        <w:ind w:left="1200" w:right="340" w:hanging="449"/>
        <w:spacing w:after="0" w:line="277"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0% because the Company has never paid, and for the foreseeable future does not expect to pay,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on its common stock.</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inputs and assumptions used to estimate the fair value of share-based payment awards represent management’s best estimates and involve inherent uncertainties and the application of management’s judgment. As a result, if factors change and management uses different inputs and assumptions, the Company’s share-based compensation expense could be materially different for future awards.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A valuation allowance is recorded to the extent it is more likely than not that some portion or all of the deferred tax assets will not be realized.</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Unrecognized income tax benefits represent income tax positions taken on income tax returns that have not been recognized in the financial statements. The Company recognizes the benefit of an income tax position only if it is more likely than not (greater than 50%) that the tax position will be sustained upon tax examination, based solely on the technical merits of the tax position. Otherwise, no benefit is recognized. The tax benefits recognized are measured based on the largest benefit that has a greater than 50% likelihood of being realized upon ultimate settlement. The Company accrues interest and related penalties are classified as income tax expense in the statements of operations. The Company does not anticipate significant changes in the amount of unrecognized income tax benefits over the next year.</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of December 31, 2018 and 2017, the Company had deferred tax assets of $53.8 million and $47.3 million, respectively; these deferred tax assets are primarily attributable to federal and state net operating loss carryforwards. Although the loss carryforwards are available to offset future taxable income, they will begin to expire in 2020 for state and 2023 for federal. In addition, prior ownership changes may create a limitation in the Company’s ability 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 the net operating loss carryforwards for federal and state income tax purposes. These loss carryforwards have been fully offset by a valuation allowance because management does not consider realization of these deferred tax assets to be more likely than not.</w:t>
      </w:r>
    </w:p>
    <w:p>
      <w:pPr>
        <w:spacing w:after="0" w:line="17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Corporate tax reform was enacted on December 22, 2017 and is effective for the Company for year ended December 31, 2017. The provisions of the corporate tax reform did not have any impact to the Company due to the full valuation allowance position. As a result of the reduced corporate rate, the Company’s deferred tax assets were revalued from 34% to 21%, which was fully offset by a reduction in the valuation allowance. In connection with the corporate tax reform, the Medical Device Tax was suspended for another two years.</w:t>
      </w:r>
    </w:p>
    <w:p>
      <w:pPr>
        <w:spacing w:after="0" w:line="291" w:lineRule="exact"/>
        <w:rPr>
          <w:sz w:val="20"/>
          <w:szCs w:val="20"/>
          <w:color w:val="auto"/>
        </w:rPr>
      </w:pPr>
    </w:p>
    <w:p>
      <w:pPr>
        <w:ind w:right="7080" w:firstLine="8"/>
        <w:spacing w:after="0" w:line="378" w:lineRule="auto"/>
        <w:tabs>
          <w:tab w:leader="none" w:pos="44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JOBS Act Accounting Election</w:t>
      </w:r>
    </w:p>
    <w:p>
      <w:pPr>
        <w:ind w:right="16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regarding the accounting for and disclosures of revenue recognition, with an effective date for public companies of annual and interim periods beginning after December 15, 2016. In July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which deferred the effective date of the previously issued revenue recognition guidance by one year. This guidance is effective for public companies for annual and interim periods beginning after December 15, 2017. For all other entities, including emerging growth companies, this standard is effective for annual reporting periods beginning after December 15, 2018, and interim periods with annual periods beginning after December 15, 2019. Early adoption is permitted.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April 2016 and May 2016, the FASB issued ASU 2016-10, “</w:t>
      </w:r>
      <w:r>
        <w:rPr>
          <w:rFonts w:ascii="Arial" w:cs="Arial" w:eastAsia="Arial" w:hAnsi="Arial"/>
          <w:sz w:val="17"/>
          <w:szCs w:val="17"/>
          <w:i w:val="1"/>
          <w:iCs w:val="1"/>
          <w:color w:val="auto"/>
        </w:rPr>
        <w:t>Revenue from Contracts with Customers (Topic 606): Identifying Performance Obligations</w:t>
      </w:r>
    </w:p>
    <w:p>
      <w:pPr>
        <w:spacing w:after="0" w:line="35" w:lineRule="exact"/>
        <w:rPr>
          <w:sz w:val="20"/>
          <w:szCs w:val="20"/>
          <w:color w:val="auto"/>
        </w:rPr>
      </w:pPr>
    </w:p>
    <w:p>
      <w:pPr>
        <w:ind w:right="820"/>
        <w:spacing w:after="0" w:line="290" w:lineRule="auto"/>
        <w:rPr>
          <w:sz w:val="20"/>
          <w:szCs w:val="20"/>
          <w:color w:val="auto"/>
        </w:rPr>
      </w:pPr>
      <w:r>
        <w:rPr>
          <w:rFonts w:ascii="Arial" w:cs="Arial" w:eastAsia="Arial" w:hAnsi="Arial"/>
          <w:sz w:val="17"/>
          <w:szCs w:val="17"/>
          <w:i w:val="1"/>
          <w:iCs w:val="1"/>
          <w:color w:val="auto"/>
        </w:rPr>
        <w:t>and Licensing</w:t>
      </w:r>
      <w:r>
        <w:rPr>
          <w:rFonts w:ascii="Arial" w:cs="Arial" w:eastAsia="Arial" w:hAnsi="Arial"/>
          <w:sz w:val="17"/>
          <w:szCs w:val="17"/>
          <w:color w:val="auto"/>
        </w:rPr>
        <w:t>” and ASU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Both updates provide improvements and clarification to the previously issued revenue recognition guidance.</w:t>
      </w:r>
    </w:p>
    <w:p>
      <w:pPr>
        <w:spacing w:after="0" w:line="1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new revenue standard provides a single comprehensive model for accounting for revenue from contracts with customers. The model requires that revenue recognized reflects the actual consideration to which the entity expects to be entitled in exchange for the goods or services defined in the contract, including in situations with multiple performance obligations. In addition, the standard requires quantitative and qualitative disclosures of the nature, amount, timing, and uncertainty of revenue and cash flows arising from contracts with customers, as well as any judgements related to the standard.</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revenue standard is principles-based and interpretation of those principles may vary from company to company based on their unique circumstances. It is possible that interpretation, industry practice, and guidance may evolve as companies and the accounting profession work to implement this new standard. The Company will continue to monitor industry activities and any additional guidance provided by regulators, standards setters, or the accounting profession. The Company has also implemented internal controls and processes to enable the preparation of financial information and has reached conclusions on key accounting assessments related to the standard.</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new standard can be adopted using one of two methods: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adopted the standard on January 1, 2019, using the modified retrospective approach and applying the completed contracts practical expedient, with the cumulative effect of adoption recorded within retained earnings on January 1, 2019. However, the Company concluded that all sales prior to January 1, 2019 are completed contracts, as all or substantially all the revenue related to these sales has been recognized as of that date. Therefore, there was no cumulative effect of adoption recorded within retained earnings on January 1,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that the new guidance will not have a material impact on its revenue recognition practices for NeuroStar Advance Therapy Systems and Treatment Sessions. However, the standard changes the Company’s accounting treatment for incremental costs to obtain a contract, including sales commissions. The incremental costs of obtaining a contract are those that an entity incurs to obtain a contract with a customer that it would not have incurred if the contract had not been obtained.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the Company expensed incremental costs to obtain a contract as incurred, including the sales commissions paid for NeuroStar Advance Therapy Systems and Treatment Sessions. Under Topic 606, the Company will capitalize a portion of the sales commissions paid on NeuroStar Advanced Therapy Systems sold after January 1, 2019 and amortize the expense on a straight-line basis over a seven-year period, which is consistent with the transfer of specific anticipated Treatment Session contracts to customers.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the standard changes the Company’s accounting treatment for milestone payments, specifically related to a future contingent milestone payment in the Company’s distribution agreement with Teijin Pharma Limited, or Teijin. Teijin is required to pay the Company a milestone payment tied to Japanese Ministry of Health, Labour and Welfare, or JMHLW, issuing reimbursement for use of its products for the treatment of MDD in Japan. The initial reimbursement amount received from JMHLW is subject to a revision period based the completion of post marketing surveillance studies, which in turn would cause a revision in the milestone payment. The Company estimated the revenue likely to be earned, subject to the constraint that the amount recorded is not probable of a significant revenue reversal, by probability weighting likely reimbursement outcomes and the related milestone payment amounts. As a result of this analysis, the Company concluded that the new guidance will not have an impact on the Company’s revenue as of the adoption date.</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February 2016, the FASB issued ASU 2016-02, Leases (Topic 842), with guidance regarding the accounting for and disclosure of leases. The update requires lessees to recognize all leases, including operating leases, with a term greater than 12 months on the balance sheet. This update also requires lessees and lessors to disclose key information about their leasing transactions. This guidance will be effective for public companies for annual and interim periods beginning after December 15, 2018. For all other entities, including emerging growth companies, this standard will be effective for annual reporting periods beginning after December 15, 2019, and interim periods within annual periods beginning after December 15, 2020. Early adoption is permitted.</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a lessee, leases will be classified as either finance or operating, with classification affecting the pattern of expense recognition in the income statement. As a lessor, leases will be classified as either direct financing, sales-type, or operating, with classification affecting the pattern of revenue recognition and related expense, in the income statement. Additionally, the new standard requires quantitative and qualitative disclosures of amount, timing, and judgments related to the accounting for leases and the related cash flows.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leases standard is required to be applied to leases in existence as of the date of initial application using a modified retrospective transition approach; a full retrospective transition approach is not permitted. The Company adopted the standard on January 1, 2019, using the effective date modified retrospective method transition. Under this adoption method, comparative periods are presented in accordance with Topic 840 and do not include any retrospective adjustments to reflect the adoption of Topic 842.</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elected the package of practical expedients permitted under the transition guidance within the new standard, which among other things, allows the Company to carryforward the historical lease classification. The Company made an accounting policy election to keep leases with an initial term of 12 months or less off the balance sheet. The Company will recognize those lease payments in the Statements of Operations on a straight-line basis over the lease term. The Company made an accounting policy election to present all funds collected from lessees for sales and other similar taxes net of the related sales tax expense.</w:t>
      </w:r>
    </w:p>
    <w:p>
      <w:pPr>
        <w:spacing w:after="0" w:line="18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a lessee, the Company will recognize additional right of use assets and lease liabilities of approximately $1.0 million as of January 1, 2019. The right of use asset and lease liabilities primarily relate to the Company’s current non-cancelable office lease with an expiration date in 2021.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costumers have purchased NeuroStar Advanced Therapy Systems on a rent-to-own basis. Prior to adoption of Topic 842, revenue attributable to the NeuroStar Advanced Therapy Systems purchased on a rent-to-own basis were accounted for as operating leases and revenue is recognized on a straight-line basis over the term of the lease. Given the package of practical expedients elected, the Company will continue this revenue recognition for NeuroStar Advanced Therapy Systems sold on a rent-to-own basis as of December 31, 2018.</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By granting a customer the right to use a NeuroStar Advanced Therapy System, the Company is performing a revenue generating activity and the revenue recognition should be consistent with the framework in Topic 606. Due to developing customer purchase history, the Company has recently determined customers who purchase NeuroStar Advanced Therapy Systems on a rent-to-own basis are now reasonably certain to exercise the purchase option at the end of the lease. Therefore, NeuroStar Advanced Therapy Systems purchased on a rent-to-own basis will be accounted for as sales-type leases.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sales-type lease classification under Topic 842, selling profit or loss will be recognized at lease commencement and the underlying NeuroStar Advance Therapy System will be derecognized. The Company will record a corresponding lease receivable equal to the present value of the future lease payments, adjusted prospectively by interest income and payments. As of January 1, 2019, there was no impact on the Company’s financial statements related to the NeuroStar Advanced Therapy Systems purchased on a rent-to-own basis.</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June 2018, the FASB issued ASU 2018-07, Compensation—Stock Compensation (Topic 718): “</w:t>
      </w:r>
      <w:r>
        <w:rPr>
          <w:rFonts w:ascii="Arial" w:cs="Arial" w:eastAsia="Arial" w:hAnsi="Arial"/>
          <w:sz w:val="16"/>
          <w:szCs w:val="16"/>
          <w:i w:val="1"/>
          <w:iCs w:val="1"/>
          <w:color w:val="auto"/>
        </w:rPr>
        <w:t>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largely aligns the accounting for share-based payment awards issued to nonemployees with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issued to employees. Under previous GAAP, the accounting for nonemployee share-based payments differed from that applied to employee awards, particularly with regard to the measurement date and the impact of performance conditions. Under the new guidance, (i) equity-classified share-based payment awards issued to nonemployees will be measured at the grant date, instead of the previous requirement to remeasure the awards through the performance completion date, (ii) for performance conditions, compensation cost associated with the award will be recognized when the achievement of the performance condition is probable, rather than upon achievement of the performance condition, and (iii) the current requirement to reassess the classification (equity or liability) for nonemployee awards upon vesting will be eliminated, except for awards in the form of convertible instruments. This new guidance will be effective for public companies for fiscal years beginning after December 15, 2018, including interim periods within that fiscal year. The Company currently has no outstanding nonemployee share-based payment awards for which there is unrecognized compensation expense and therefore does not currently expect the adoption of the new guidance to have an effect on its financial statements.</w:t>
      </w:r>
    </w:p>
    <w:p>
      <w:pPr>
        <w:spacing w:after="0" w:line="2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December 31, 2018 and 2017 due to their short-term nature. The carrying values of the Company’s current credit facility approximated its fair value as of December 31, 2018 and 2017 due to its variable interest rate.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31"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76" w:lineRule="exact"/>
        <w:rPr>
          <w:sz w:val="20"/>
          <w:szCs w:val="20"/>
          <w:color w:val="auto"/>
        </w:rPr>
      </w:pPr>
    </w:p>
    <w:p>
      <w:pPr>
        <w:ind w:left="920" w:right="36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carrying amounts and fair values of the Company’s financial instruments as of December 31, 2018 and 2017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8"/>
          </w:tcPr>
          <w:p>
            <w:pPr>
              <w:jc w:val="center"/>
              <w:ind w:right="106"/>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6"/>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080" w:type="dxa"/>
            <w:vAlign w:val="bottom"/>
            <w:tcBorders>
              <w:top w:val="single" w:sz="8" w:color="CFF0FC"/>
            </w:tcBorders>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Assets</w:t>
            </w:r>
          </w:p>
        </w:tc>
        <w:tc>
          <w:tcPr>
            <w:tcW w:w="1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tcPr>
          <w:p>
            <w:pPr>
              <w:spacing w:after="0"/>
              <w:rPr>
                <w:sz w:val="20"/>
                <w:szCs w:val="20"/>
                <w:color w:val="auto"/>
              </w:rPr>
            </w:pPr>
            <w:r>
              <w:rPr>
                <w:rFonts w:ascii="Arial" w:cs="Arial" w:eastAsia="Arial" w:hAnsi="Arial"/>
                <w:sz w:val="16"/>
                <w:szCs w:val="16"/>
                <w:color w:val="auto"/>
              </w:rPr>
              <w:t>Money market funds (cash equivalents)</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87,062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87,062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87,062</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December 31, 2017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8"/>
          </w:tcPr>
          <w:p>
            <w:pPr>
              <w:jc w:val="center"/>
              <w:ind w:right="106"/>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6"/>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080" w:type="dxa"/>
            <w:vAlign w:val="bottom"/>
            <w:tcBorders>
              <w:top w:val="single" w:sz="8" w:color="CFF0FC"/>
            </w:tcBorders>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Assets</w:t>
            </w:r>
          </w:p>
        </w:tc>
        <w:tc>
          <w:tcPr>
            <w:tcW w:w="1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tcPr>
          <w:p>
            <w:pPr>
              <w:spacing w:after="0"/>
              <w:rPr>
                <w:sz w:val="20"/>
                <w:szCs w:val="20"/>
                <w:color w:val="auto"/>
              </w:rPr>
            </w:pPr>
            <w:r>
              <w:rPr>
                <w:rFonts w:ascii="Arial" w:cs="Arial" w:eastAsia="Arial" w:hAnsi="Arial"/>
                <w:sz w:val="16"/>
                <w:szCs w:val="16"/>
                <w:color w:val="auto"/>
              </w:rPr>
              <w:t>Money market funds (cash equivalents)</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11,149</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11,149</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80" w:type="dxa"/>
            <w:vAlign w:val="bottom"/>
            <w:gridSpan w:val="3"/>
            <w:shd w:val="clear" w:color="auto" w:fill="CFF0FC"/>
          </w:tcPr>
          <w:p>
            <w:pPr>
              <w:spacing w:after="0" w:line="181" w:lineRule="exact"/>
              <w:rPr>
                <w:sz w:val="20"/>
                <w:szCs w:val="20"/>
                <w:color w:val="auto"/>
              </w:rPr>
            </w:pPr>
            <w:r>
              <w:rPr>
                <w:rFonts w:ascii="Arial" w:cs="Arial" w:eastAsia="Arial" w:hAnsi="Arial"/>
                <w:sz w:val="16"/>
                <w:szCs w:val="16"/>
                <w:b w:val="1"/>
                <w:bCs w:val="1"/>
                <w:color w:val="auto"/>
              </w:rPr>
              <w:t>Liabilities</w:t>
            </w: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tcPr>
          <w:p>
            <w:pPr>
              <w:spacing w:after="0"/>
              <w:rPr>
                <w:sz w:val="20"/>
                <w:szCs w:val="20"/>
                <w:color w:val="auto"/>
              </w:rPr>
            </w:pPr>
            <w:r>
              <w:rPr>
                <w:rFonts w:ascii="Arial" w:cs="Arial" w:eastAsia="Arial" w:hAnsi="Arial"/>
                <w:sz w:val="16"/>
                <w:szCs w:val="16"/>
                <w:color w:val="auto"/>
              </w:rPr>
              <w:t>Convertible preferred stock warrant liability</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478</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convertible preferred stock warrant liability was estimated using the Black-Scholes option pricing model and the following inputs and assumptions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December 31, 2017</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Series E</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w w:val="99"/>
              </w:rPr>
              <w:t>Series F</w:t>
            </w:r>
          </w:p>
        </w:tc>
        <w:tc>
          <w:tcPr>
            <w:tcW w:w="140" w:type="dxa"/>
            <w:vAlign w:val="bottom"/>
            <w:tcBorders>
              <w:bottom w:val="single" w:sz="8" w:color="CFF0FC"/>
            </w:tcBorders>
          </w:tcPr>
          <w:p>
            <w:pPr>
              <w:spacing w:after="0"/>
              <w:rPr>
                <w:sz w:val="13"/>
                <w:szCs w:val="13"/>
                <w:color w:val="auto"/>
              </w:rPr>
            </w:pPr>
          </w:p>
        </w:tc>
      </w:tr>
      <w:tr>
        <w:trPr>
          <w:trHeight w:val="210"/>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Estimated fair value of convertible preferred stock</w:t>
            </w: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140" w:type="dxa"/>
            <w:vAlign w:val="bottom"/>
            <w:shd w:val="clear" w:color="auto" w:fill="CFF0FC"/>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Exercise price</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19.55</w:t>
            </w:r>
          </w:p>
        </w:tc>
        <w:tc>
          <w:tcPr>
            <w:tcW w:w="22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9.73</w:t>
            </w:r>
          </w:p>
        </w:tc>
        <w:tc>
          <w:tcPr>
            <w:tcW w:w="14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Remaining term (in years)</w:t>
            </w: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3.1 - 7.0</w:t>
            </w:r>
          </w:p>
        </w:tc>
        <w:tc>
          <w:tcPr>
            <w:tcW w:w="140" w:type="dxa"/>
            <w:vAlign w:val="bottom"/>
            <w:shd w:val="clear" w:color="auto" w:fill="CFF0FC"/>
          </w:tcPr>
          <w:p>
            <w:pPr>
              <w:spacing w:after="0"/>
              <w:rPr>
                <w:sz w:val="19"/>
                <w:szCs w:val="19"/>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 - 2.3%</w:t>
            </w:r>
          </w:p>
        </w:tc>
        <w:tc>
          <w:tcPr>
            <w:tcW w:w="140" w:type="dxa"/>
            <w:vAlign w:val="bottom"/>
          </w:tcPr>
          <w:p>
            <w:pPr>
              <w:spacing w:after="0"/>
              <w:rPr>
                <w:sz w:val="18"/>
                <w:szCs w:val="18"/>
                <w:color w:val="auto"/>
              </w:rPr>
            </w:pP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 - 44%</w:t>
            </w:r>
          </w:p>
        </w:tc>
        <w:tc>
          <w:tcPr>
            <w:tcW w:w="140" w:type="dxa"/>
            <w:vAlign w:val="bottom"/>
            <w:shd w:val="clear" w:color="auto" w:fill="CFF0FC"/>
          </w:tcPr>
          <w:p>
            <w:pPr>
              <w:spacing w:after="0"/>
              <w:rPr>
                <w:sz w:val="19"/>
                <w:szCs w:val="19"/>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color w:val="auto"/>
              </w:rPr>
              <w:t>Dividend yield</w:t>
            </w:r>
          </w:p>
        </w:tc>
        <w:tc>
          <w:tcPr>
            <w:tcW w:w="1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presents the changes in Level 3 instruments measured on a recurring basis for the years ended December 31, 2018 and 2017 (in thousands):</w:t>
      </w:r>
    </w:p>
    <w:p>
      <w:pPr>
        <w:spacing w:after="0" w:line="17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2016</w:t>
            </w: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3"/>
        </w:trPr>
        <w:tc>
          <w:tcPr>
            <w:tcW w:w="4340" w:type="dxa"/>
            <w:vAlign w:val="bottom"/>
          </w:tcPr>
          <w:p>
            <w:pPr>
              <w:ind w:left="240"/>
              <w:spacing w:after="0"/>
              <w:rPr>
                <w:sz w:val="20"/>
                <w:szCs w:val="20"/>
                <w:color w:val="auto"/>
              </w:rPr>
            </w:pPr>
            <w:r>
              <w:rPr>
                <w:rFonts w:ascii="Arial" w:cs="Arial" w:eastAsia="Arial" w:hAnsi="Arial"/>
                <w:sz w:val="16"/>
                <w:szCs w:val="16"/>
                <w:color w:val="auto"/>
              </w:rPr>
              <w:t>Issuance of warrants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fair value</w:t>
            </w: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7"/>
        </w:trPr>
        <w:tc>
          <w:tcPr>
            <w:tcW w:w="4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at December 31, 2017</w:t>
            </w:r>
          </w:p>
        </w:tc>
        <w:tc>
          <w:tcPr>
            <w:tcW w:w="126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3"/>
        </w:trPr>
        <w:tc>
          <w:tcPr>
            <w:tcW w:w="4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fair value</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3"/>
        </w:trPr>
        <w:tc>
          <w:tcPr>
            <w:tcW w:w="4340" w:type="dxa"/>
            <w:vAlign w:val="bottom"/>
          </w:tcPr>
          <w:p>
            <w:pPr>
              <w:ind w:left="240"/>
              <w:spacing w:after="0"/>
              <w:rPr>
                <w:sz w:val="20"/>
                <w:szCs w:val="20"/>
                <w:color w:val="auto"/>
              </w:rPr>
            </w:pPr>
            <w:r>
              <w:rPr>
                <w:rFonts w:ascii="Arial" w:cs="Arial" w:eastAsia="Arial" w:hAnsi="Arial"/>
                <w:sz w:val="16"/>
                <w:szCs w:val="16"/>
                <w:color w:val="auto"/>
              </w:rPr>
              <w:t>Reclassification to additional paid in capital</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1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December 31, 2018 and 2017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Gross accounts receivable - trade</w:t>
            </w:r>
          </w:p>
        </w:tc>
        <w:tc>
          <w:tcPr>
            <w:tcW w:w="21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6,120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4,684</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Less: Allowances for doubtful accounts</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Accounts receivable, net</w:t>
            </w:r>
          </w:p>
        </w:tc>
        <w:tc>
          <w:tcPr>
            <w:tcW w:w="14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FF0FC"/>
          </w:tcPr>
          <w:p>
            <w:pPr>
              <w:spacing w:after="0"/>
              <w:rPr>
                <w:sz w:val="18"/>
                <w:szCs w:val="18"/>
                <w:color w:val="auto"/>
              </w:rPr>
            </w:pPr>
          </w:p>
        </w:tc>
        <w:tc>
          <w:tcPr>
            <w:tcW w:w="21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5,620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4,267</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1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was $0.2 million, $0.1 million and $0.1 million for the years ended December 31, 2018,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allowance for doubtful accounts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Bad Debt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Write-offs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Balance at</w:t>
            </w:r>
          </w:p>
        </w:tc>
      </w:tr>
      <w:tr>
        <w:trPr>
          <w:trHeight w:val="149"/>
        </w:trPr>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Expense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Uncollectible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 of</w:t>
            </w:r>
          </w:p>
        </w:tc>
      </w:tr>
      <w:tr>
        <w:trPr>
          <w:trHeight w:val="171"/>
        </w:trPr>
        <w:tc>
          <w:tcPr>
            <w:tcW w:w="368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Balances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FF0FC"/>
            </w:tcBorders>
          </w:tcPr>
          <w:p>
            <w:pPr>
              <w:spacing w:after="0"/>
              <w:rPr>
                <w:sz w:val="14"/>
                <w:szCs w:val="14"/>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Year ended December 31, 2016</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(274)</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Year ended December 31, 2017</w:t>
            </w:r>
          </w:p>
        </w:tc>
        <w:tc>
          <w:tcPr>
            <w:tcW w:w="1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(343)</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(116)</w:t>
            </w: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(417)</w:t>
            </w: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Year ended December 31, 2018</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(500)</w:t>
            </w:r>
          </w:p>
        </w:tc>
      </w:tr>
    </w:tbl>
    <w:p>
      <w:pPr>
        <w:spacing w:after="0" w:line="33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December 31, 2018 and 2017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Laboratory equipment</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Office equipment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 and software</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Manufacturing equipment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Rental equipment</w:t>
            </w:r>
          </w:p>
        </w:tc>
        <w:tc>
          <w:tcPr>
            <w:tcW w:w="15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13"/>
        </w:trPr>
        <w:tc>
          <w:tcPr>
            <w:tcW w:w="3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gross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3900" w:type="dxa"/>
            <w:vAlign w:val="bottom"/>
          </w:tcPr>
          <w:p>
            <w:pPr>
              <w:ind w:left="240"/>
              <w:spacing w:after="0"/>
              <w:rPr>
                <w:sz w:val="20"/>
                <w:szCs w:val="20"/>
                <w:color w:val="auto"/>
              </w:rPr>
            </w:pPr>
            <w:r>
              <w:rPr>
                <w:rFonts w:ascii="Arial" w:cs="Arial" w:eastAsia="Arial" w:hAnsi="Arial"/>
                <w:sz w:val="16"/>
                <w:szCs w:val="16"/>
                <w:color w:val="auto"/>
              </w:rPr>
              <w:t>Less: Accumulated depreciation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(2,016)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Property and equipment, net</w:t>
            </w: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2018 and 2017, the Company had capitalized software costs, net of $1.0 million and $0.4 million, respectively, which are included in “Other assets” on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$0.9 million, $0.6 million and $0.7 million for the years ended December 31, 2018, 2017 and 2016, respectively.</w:t>
      </w:r>
    </w:p>
    <w:p>
      <w:pPr>
        <w:spacing w:after="0" w:line="35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December 31, 2018 and 2017 (in thousands):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related benefits</w:t>
            </w:r>
          </w:p>
        </w:tc>
        <w:tc>
          <w:tcPr>
            <w:tcW w:w="22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4,909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4,465</w:t>
            </w:r>
          </w:p>
        </w:tc>
        <w:tc>
          <w:tcPr>
            <w:tcW w:w="60" w:type="dxa"/>
            <w:vAlign w:val="bottom"/>
            <w:shd w:val="clear" w:color="auto" w:fill="CFF0FC"/>
          </w:tcPr>
          <w:p>
            <w:pPr>
              <w:spacing w:after="0"/>
              <w:rPr>
                <w:sz w:val="18"/>
                <w:szCs w:val="18"/>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Consulting and professional fees</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620</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Warranty</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Sales tax payable</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Interest payable</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60" w:type="dxa"/>
            <w:vAlign w:val="bottom"/>
            <w:tcBorders>
              <w:bottom w:val="single" w:sz="8" w:color="CFF0FC"/>
            </w:tcBorders>
          </w:tcPr>
          <w:p>
            <w:pPr>
              <w:spacing w:after="0"/>
              <w:rPr>
                <w:sz w:val="18"/>
                <w:szCs w:val="18"/>
                <w:color w:val="auto"/>
              </w:rPr>
            </w:pPr>
          </w:p>
        </w:tc>
      </w:tr>
      <w:tr>
        <w:trPr>
          <w:trHeight w:val="210"/>
        </w:trPr>
        <w:tc>
          <w:tcPr>
            <w:tcW w:w="3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w:t>
            </w:r>
          </w:p>
        </w:tc>
        <w:tc>
          <w:tcPr>
            <w:tcW w:w="22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7,548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7,511</w:t>
            </w:r>
          </w:p>
        </w:tc>
        <w:tc>
          <w:tcPr>
            <w:tcW w:w="6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December 31, 2018 and 2017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Outstanding principal</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60" w:type="dxa"/>
            <w:vAlign w:val="bottom"/>
            <w:shd w:val="clear" w:color="auto" w:fill="CFF0FC"/>
          </w:tcPr>
          <w:p>
            <w:pPr>
              <w:spacing w:after="0"/>
              <w:rPr>
                <w:sz w:val="18"/>
                <w:szCs w:val="18"/>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color w:val="auto"/>
              </w:rPr>
              <w:t>Accrued final payment fees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940</w:t>
            </w:r>
          </w:p>
        </w:tc>
        <w:tc>
          <w:tcPr>
            <w:tcW w:w="60" w:type="dxa"/>
            <w:vAlign w:val="bottom"/>
          </w:tcPr>
          <w:p>
            <w:pPr>
              <w:spacing w:after="0"/>
              <w:rPr>
                <w:sz w:val="18"/>
                <w:szCs w:val="18"/>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Less debt discounts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(1,073)</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(1,384)</w:t>
            </w:r>
          </w:p>
        </w:tc>
      </w:tr>
      <w:tr>
        <w:trPr>
          <w:trHeight w:val="207"/>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long-term debt, net</w:t>
            </w:r>
          </w:p>
        </w:tc>
        <w:tc>
          <w:tcPr>
            <w:tcW w:w="13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30,395</w:t>
            </w:r>
          </w:p>
        </w:tc>
        <w:tc>
          <w:tcPr>
            <w:tcW w:w="2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29,556</w:t>
            </w:r>
          </w:p>
        </w:tc>
        <w:tc>
          <w:tcPr>
            <w:tcW w:w="60" w:type="dxa"/>
            <w:vAlign w:val="bottom"/>
            <w:tcBorders>
              <w:bottom w:val="single" w:sz="8" w:color="CFF0FC"/>
            </w:tcBorders>
          </w:tcPr>
          <w:p>
            <w:pPr>
              <w:spacing w:after="0"/>
              <w:rPr>
                <w:sz w:val="17"/>
                <w:szCs w:val="17"/>
                <w:color w:val="auto"/>
              </w:rPr>
            </w:pPr>
          </w:p>
        </w:tc>
      </w:tr>
      <w:tr>
        <w:trPr>
          <w:trHeight w:val="213"/>
        </w:trPr>
        <w:tc>
          <w:tcPr>
            <w:tcW w:w="41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Less current portion of long-term debt</w:t>
            </w:r>
          </w:p>
        </w:tc>
        <w:tc>
          <w:tcPr>
            <w:tcW w:w="13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r>
      <w:tr>
        <w:trPr>
          <w:trHeight w:val="207"/>
        </w:trPr>
        <w:tc>
          <w:tcPr>
            <w:tcW w:w="410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30,395</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29,556</w:t>
            </w:r>
          </w:p>
        </w:tc>
        <w:tc>
          <w:tcPr>
            <w:tcW w:w="6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December 31, 2018, the Company recognized interest expense of $3.7 million, of which $2.9 million was cash and $0.8 million was non-cash interest expense related to the amortization of deferred debt issuance costs and accrual of final payment fees. For the year ended December 31, 2017, the Company recognized interest expense of $2.8 million, of which $2.1 million was cash and $0.7 million was non-cash interest expense related to the amortization of deferred debt issuance costs and accrual of final payment fees. For the year ended December 31, 2016, the Company recognized interest expense of $1.8 million, of which $1.4 million was cash and $0.4 million was non-cash interest expense related to the amortization of deferred debt issuance costs and accrual of final payment fees.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Credit Facility</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March 2017, the Company entered into a new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Oxford if it elected to borrow the Term C Loan. As a result of completing its IPO on July 2, 2018 and receiving the net proceeds therefrom, the Company elected not to borrow the additional $5.0 million, and it is no longer available to the Company. Each term loan accrues interest from the date of borrowing through the date of repayment at a floating per annum rate of interest, which resets monthly and is equal to the greater of (a) 8.15% or (b) the 30-day U.S. LIBOR on the last business day of the month plus 7.38%. The Company was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December 31, 2018, the Company had borrowed and had outstanding an aggregate of $30.0 million of principal under the credit facility.</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A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the Company will be required to make monthly payments of principal and interest based on a 24-month amortization schedule. In connection with the drawdown of the Term A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March 2024.</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B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the Company will be required to make monthly payments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principal and interest based on a 24-month amortization schedule. In connection with the drawdown of the Term B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December 2024.</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principal and interest payments due under the credit facility, the Company is required to make final payment fees to Oxford due upon the earlier of prepayment or maturity of each tranche, which increased as a result the extension of the interest-only period and are now equal to 8.5% and 7.5% of the principal amounts of the Term A and Term B Loans, respectively. The Company accrues the estimated final payment fees using the effective interest rate, with a charge to non-cash interest expense, over the term of borrowing for each tranche. As of December 31, 2018, the effective interest rates for the Term A and Term B Loans were 11.87% and 12.14%, respectively. As of December 31, 2017, the effective interest rates for the Term A and Term B Loans were 10.7% and 11.6%, respectively. If the Company prepays its term loans prior to their respective scheduled maturities, it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Oxford each year for the life of the credit facility, as well as customary affirmative and negative covenants. The Company was in compliance with all of the covenants under its credit facility as of December 31, 2018.</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a 24-month amortization of the outstanding principal amounts of the Term A and Term B Loans beginning on April 1, 2020 as discussed above, the following table sets forth by year the Company’s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Payments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principal payments</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$25.0 Million Credit Facility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March 2017, the Company had a $25.0 million credit facility in place with Oxford, which it entered into in February 2014 and which allowed it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the Company was also required to issue convertible preferred stock warrants to Oxford at the time of borrowing of each tranche. These convertible preferred stock warrants converted into common stock warrants immediately prior to the closing of the Company’s IPO on July 2, 2018.</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principal and interest payments due under the previous $25.0 million credit facility, the Company was required to make final payment fees to Oxford upon the earlier of prepayment or maturity and equal to 8.5% and 4.7% of the principal amounts of the Term A and Term B Loans, respectively. The Company accrued final payment fees using the effective interest rate, with a charge to non-cash interest expense, over the term of borrowing and until its entry into the current credit facility in March 2017, at which time the Company paid Oxford $1.0 million in satisfaction of all final payment fee liabilities due under the prior credit facility.</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evaluated whether the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management accounted for the transaction as a debt modification. As of March 2017, the unamortized balance of deferred debt issuance costs incurred in connection with the $25.0 million credit facility, and certain additional deferred debt issuance costs incurred in connection with entry into the current credit facility, are being amortized to interest expense through March 2022 utilizing the effective interest method.</w:t>
      </w:r>
    </w:p>
    <w:p>
      <w:pPr>
        <w:spacing w:after="0" w:line="262" w:lineRule="exact"/>
        <w:rPr>
          <w:sz w:val="20"/>
          <w:szCs w:val="20"/>
          <w:color w:val="auto"/>
        </w:rPr>
      </w:pPr>
    </w:p>
    <w:p>
      <w:pPr>
        <w:ind w:right="4940" w:firstLine="8"/>
        <w:spacing w:after="0" w:line="378" w:lineRule="auto"/>
        <w:tabs>
          <w:tab w:leader="none" w:pos="44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Initial Public Offering</w:t>
      </w:r>
    </w:p>
    <w:p>
      <w:pPr>
        <w:ind w:right="40"/>
        <w:spacing w:after="0" w:line="271" w:lineRule="auto"/>
        <w:rPr>
          <w:sz w:val="20"/>
          <w:szCs w:val="20"/>
          <w:color w:val="auto"/>
        </w:rPr>
      </w:pPr>
      <w:r>
        <w:rPr>
          <w:rFonts w:ascii="Arial" w:cs="Arial" w:eastAsia="Arial" w:hAnsi="Arial"/>
          <w:sz w:val="17"/>
          <w:szCs w:val="17"/>
          <w:color w:val="auto"/>
        </w:rPr>
        <w:t>On July 2, 2018, the Company closed its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In addition, immediately prior to the closing of the IPO on July 2, 2018, (i) all of the Company’s outstanding shares of convertible preferred stock converted into an aggregate of 11.0 million shares of common stock; (ii) 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amended and restated certificate of incorporation as of December 31, 2018 authorized the issuance of 200.0 million shares of common stock, $0.01 par value per share, of which 17.744 million were issued and outstanding as of December 31, 2018.</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the IPO, the Company was required to reserve and keep available out of its authorized but unissued shares of common stock a number of shares sufficient to effect the conversion into common stock of all outstanding shares of convertible preferred stock and convertible preferred stock warrants, convertible preferred stock or common stock warrants issuable upon borrowing the Term C Loan under the current credit facility, stock options granted and shares available for grant under its stock incentive plan.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December 31, 2018 and 2017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Shares of common stock issued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60" w:type="dxa"/>
            <w:vAlign w:val="bottom"/>
            <w:shd w:val="clear" w:color="auto" w:fill="CFF0FC"/>
          </w:tcPr>
          <w:p>
            <w:pPr>
              <w:spacing w:after="0"/>
              <w:rPr>
                <w:sz w:val="18"/>
                <w:szCs w:val="18"/>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Shares of common stock reserved for issuance for: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Convertible preferred stock outstanding: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Series A-1</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Series A-2</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Series B</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697</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Series C</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Series D</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1,705</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Series 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Series F</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3,531</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Series 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w:t>
            </w:r>
          </w:p>
        </w:tc>
        <w:tc>
          <w:tcPr>
            <w:tcW w:w="60" w:type="dxa"/>
            <w:vAlign w:val="bottom"/>
            <w:shd w:val="clear" w:color="auto" w:fill="CFF0FC"/>
          </w:tcPr>
          <w:p>
            <w:pPr>
              <w:spacing w:after="0"/>
              <w:rPr>
                <w:sz w:val="19"/>
                <w:szCs w:val="19"/>
                <w:color w:val="auto"/>
              </w:rPr>
            </w:pPr>
          </w:p>
        </w:tc>
      </w:tr>
      <w:tr>
        <w:trPr>
          <w:trHeight w:val="206"/>
        </w:trPr>
        <w:tc>
          <w:tcPr>
            <w:tcW w:w="5520" w:type="dxa"/>
            <w:vAlign w:val="bottom"/>
          </w:tcPr>
          <w:p>
            <w:pPr>
              <w:ind w:left="240"/>
              <w:spacing w:after="0"/>
              <w:rPr>
                <w:sz w:val="20"/>
                <w:szCs w:val="20"/>
                <w:color w:val="auto"/>
              </w:rPr>
            </w:pPr>
            <w:r>
              <w:rPr>
                <w:rFonts w:ascii="Arial" w:cs="Arial" w:eastAsia="Arial" w:hAnsi="Arial"/>
                <w:sz w:val="16"/>
                <w:szCs w:val="16"/>
                <w:color w:val="auto"/>
              </w:rPr>
              <w:t>Convertible preferred stock warrants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520" w:type="dxa"/>
            <w:vAlign w:val="bottom"/>
          </w:tcPr>
          <w:p>
            <w:pPr>
              <w:ind w:left="380"/>
              <w:spacing w:after="0"/>
              <w:rPr>
                <w:sz w:val="20"/>
                <w:szCs w:val="20"/>
                <w:color w:val="auto"/>
              </w:rPr>
            </w:pPr>
            <w:r>
              <w:rPr>
                <w:rFonts w:ascii="Arial" w:cs="Arial" w:eastAsia="Arial" w:hAnsi="Arial"/>
                <w:sz w:val="16"/>
                <w:szCs w:val="16"/>
                <w:color w:val="auto"/>
              </w:rPr>
              <w:t>outstanding: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Series 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Series F</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Warrants issuable upon Term C Loan borrowing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Common stock warrants 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options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Restricted stock units 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available for grant under stock incentive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5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60" w:type="dxa"/>
            <w:vAlign w:val="bottom"/>
            <w:shd w:val="clear" w:color="auto" w:fill="CFF0FC"/>
          </w:tcPr>
          <w:p>
            <w:pPr>
              <w:spacing w:after="0"/>
              <w:rPr>
                <w:sz w:val="18"/>
                <w:szCs w:val="18"/>
                <w:color w:val="auto"/>
              </w:rPr>
            </w:pPr>
          </w:p>
        </w:tc>
      </w:tr>
      <w:tr>
        <w:trPr>
          <w:trHeight w:val="206"/>
        </w:trPr>
        <w:tc>
          <w:tcPr>
            <w:tcW w:w="5520" w:type="dxa"/>
            <w:vAlign w:val="bottom"/>
          </w:tcPr>
          <w:p>
            <w:pPr>
              <w:ind w:left="240"/>
              <w:spacing w:after="0"/>
              <w:rPr>
                <w:sz w:val="20"/>
                <w:szCs w:val="20"/>
                <w:color w:val="auto"/>
              </w:rPr>
            </w:pPr>
            <w:r>
              <w:rPr>
                <w:rFonts w:ascii="Arial" w:cs="Arial" w:eastAsia="Arial" w:hAnsi="Arial"/>
                <w:sz w:val="16"/>
                <w:szCs w:val="16"/>
                <w:color w:val="auto"/>
              </w:rPr>
              <w:t>Shares available for sale under employee stock</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5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purchase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r>
      <w:tr>
        <w:trPr>
          <w:trHeight w:val="203"/>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shares of common stock issued and</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9"/>
        </w:trPr>
        <w:tc>
          <w:tcPr>
            <w:tcW w:w="55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reserved for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22,159</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14,040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filing of the July 2, 2018 amended certificate of incorporation, the Company’s amended certificate of incorporation authorized the issuance of 308.6 million shares of convertible preferred stock, $0.01 par value per share, of which the Company had designated and issued Series A-1, Series A-2, Series B, Series C, Series D, Series E, Series F and Series G shares. Series A-1 through Series E shares of convertible preferred stock are referred to collectively as Junior Securities and are subordinate to shares of Series G and Series F convertible preferred stock. All of the Company’s convertible preferred stock was classified outside of stockholders’ equity (deficit) because the shares contained deemed liquidation rights that were a contingent redemption feature not solely within the control of 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convertible preferred stock as of December 31, 2017: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Liquidation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Designated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gridSpan w:val="2"/>
          </w:tcPr>
          <w:p>
            <w:pPr>
              <w:jc w:val="center"/>
              <w:ind w:left="86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Series A-1</w:t>
            </w:r>
          </w:p>
        </w:tc>
        <w:tc>
          <w:tcPr>
            <w:tcW w:w="9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4,800</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0.0617</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Series A-2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25,385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0.2052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Series B</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17,000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20,958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34,841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0.5253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Series D</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49,426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49,426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29,970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0.2874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Series E</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44,873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44,471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Series F</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105,567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102,334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43,513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0.3356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spacing w:after="0"/>
              <w:rPr>
                <w:sz w:val="20"/>
                <w:szCs w:val="20"/>
                <w:color w:val="auto"/>
              </w:rPr>
            </w:pPr>
            <w:r>
              <w:rPr>
                <w:rFonts w:ascii="Arial" w:cs="Arial" w:eastAsia="Arial" w:hAnsi="Arial"/>
                <w:sz w:val="16"/>
                <w:szCs w:val="16"/>
                <w:color w:val="auto"/>
              </w:rPr>
              <w:t>Series G</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40,584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14,825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0.3696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rPr>
              <w:t>Balance at December 31, 2017</w:t>
            </w:r>
          </w:p>
        </w:tc>
        <w:tc>
          <w:tcPr>
            <w:tcW w:w="9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308,593</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304,958</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share and series of convertible preferred stock was convertible into common stock at any time at the option of the holder thereof at the conversion price then in effect (each subject to adjustments upon the occurrence of certain dilutive events). As of July 2, 2018, the conversion price for Series A-1, Series D, Series E, Series F and Series G shares was equal to the original issue price, resulting in a common stock conversion ratio of 1:0.0345. As of July 2, 2018, as a result of past anti-dilution adjustments, the conversion price for Series A-2, Series B and Series C shares was below the original issue price, resulting in common stock conversion ratios of 1:0.03539, 1:0.04103 and 1:0.05071, respectively. Immediately prior to the closing of the IPO on July 2, 2018, all of the Company’s outstanding shares of convertible preferred stock converted into 11.0 million shares of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Liquidation Preferences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of December 31, 2017</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of a liquidation, dissolution or winding up of the Company, either voluntary or involuntary, or in the event of a deemed liquidation event, which includes a sale of the Company as defined in the Company’s certificate of incorporation, holders of Series G convertible preferred stock were entitled to receive, in preference to all other stockholders, an amount equal to their original investment amount plus any declared and unpaid dividends. If upon the occurrence of such event the assets and funds available for distribution are insufficient to pay such holders the full amount to which they are entitled, then the entire assets and funds legally available for distribution would be distributed ratably among the holders of the Series G convertible preferred stock in proportion to the full amounts to which they would otherwise be entitled.</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After payment in full of the liquidation preference of the Series G convertible preferred stock, holders of Series F convertible preferred stock were entitled to receive, in preference to all holders of Junior Securities and common stock, an amount equal to their original investment amount plus any declared and unpaid dividends. If upon the occurrence of such event the assets and funds available for distribution are insufficient to pay such holders the full amount to which they are entitled, then the entire remaining assets and funds legally available for distribution would be distributed ratably among the holders of the Series F convertible preferred stock in proportion to the full amounts to which they would otherwise be entitled.</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After payment in full of the liquidation preferences of the Series G and Series F convertible preferred stock, holders of Junior Securities were entitled to receive an amount equal to $59.2 million in the aggregate. If upon the occurrence of such event the assets and funds available for distribution are insufficient to pay such holders the full amount to which they are entitled, then the entire assets and funds legally available for distribution would be distributed ratably among the holders of the Junior Securities in proportion to the full amounts to which they would otherwise be entitled.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payment in full of the liquidation preferences of the Series G, Series F and Junior Securities convertible preferred stock, holders of Series F convertible preferred stock were entitled to receive an additional liquidation preference at an amount equal to $0.1678 per share. If upon the occurrence of such event the assets and funds available for distribution are insufficient to pay such holders the full amount to which they would be entitled, then the entire assets and funds legally available for distribution would be distributed ratably among the holders of the Series F convertible preferred stock in proportion to the full amounts to which they would otherwise be entitled.</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After payment in full of the liquidation preferences of the Series G, Series F and Junior Securities convertible preferred stock and the additional liquidation preference for holders of Series F convertible preferred stock, holders of common stock and holders of Junior Securities, Series F and Series G convertible preferred stock would be entitled to receive a liquidation preference until the amount distributed to holders of the Series F convertible preferred stock equals $1.0068 plus declared but unpaid dividends on each share and then to the holders of common stock and holders of Junior Securities and Series G convertible preferred stock until the aggregate amount distributed to such holders equals the amount distributed to holders of Series F convertible preferred stock divided by the Series F ownership percentage.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After payments of the above liquidation preferences have been made, any remaining assets would be distributed ratably to holders of common stock and holders of Series G, Series F and Junior Securities convertible preferred stock on an “as-converted”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of July 2, 2018</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Immediately prior to the closing of the IPO on July 2, 2018, all of the Company’s outstanding shares of convertible preferred stock converted into 11.0 million shares of common stock, resulting in the elimination of the Company’s outstanding liquidation preferences.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Each class of convertible preferred stock was entitled to receive non-cumulative annual dividends at a rate of 9.0%, if and when declared by the Company’s board of directors. The holders of Series G convertible preferred stock were entitled to dividends in preference to holders of any other class or series of the Company’s stock. The holders of Series F convertible preferred stock were entitled to dividends in preference to all holders of Junior Securities and holders of common stock. The holders of Junior Securities were entitled to dividends in preference to holders of common stock.</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a dividend was declared to common stockholders, holders of each class of convertible preferred stock would also receive an equivalent dividend on an “as-converted”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holders of each class of convertible preferred stock were entitled to one vote for each share of common stock into which their shares of convertible preferred stock may be converted and, subject to certain convertible preferred stock class votes specified in the Company’s certificate of incorporation or as required by law, the holders of convertible preferred stock and common stock vote together on an “as-converted”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December 31, 2018:</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right"/>
              <w:ind w:right="601"/>
              <w:spacing w:after="0"/>
              <w:rPr>
                <w:sz w:val="20"/>
                <w:szCs w:val="20"/>
                <w:color w:val="auto"/>
              </w:rPr>
            </w:pPr>
            <w:r>
              <w:rPr>
                <w:rFonts w:ascii="Arial" w:cs="Arial" w:eastAsia="Arial" w:hAnsi="Arial"/>
                <w:sz w:val="14"/>
                <w:szCs w:val="14"/>
                <w:b w:val="1"/>
                <w:bCs w:val="1"/>
                <w:color w:val="auto"/>
              </w:rPr>
              <w:t>Warrants Outstanding</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vMerge w:val="restart"/>
          </w:tcPr>
          <w:p>
            <w:pPr>
              <w:jc w:val="right"/>
              <w:ind w:right="880"/>
              <w:spacing w:after="0"/>
              <w:rPr>
                <w:sz w:val="20"/>
                <w:szCs w:val="20"/>
                <w:color w:val="auto"/>
              </w:rPr>
            </w:pPr>
            <w:r>
              <w:rPr>
                <w:rFonts w:ascii="Arial" w:cs="Arial" w:eastAsia="Arial" w:hAnsi="Arial"/>
                <w:sz w:val="14"/>
                <w:szCs w:val="14"/>
                <w:b w:val="1"/>
                <w:bCs w:val="1"/>
                <w:color w:val="auto"/>
              </w:rPr>
              <w:t>Exercise Price</w:t>
            </w:r>
          </w:p>
        </w:tc>
        <w:tc>
          <w:tcPr>
            <w:tcW w:w="400" w:type="dxa"/>
            <w:vAlign w:val="bottom"/>
            <w:vMerge w:val="restart"/>
          </w:tcPr>
          <w:p>
            <w:pPr>
              <w:spacing w:after="0"/>
              <w:rPr>
                <w:sz w:val="14"/>
                <w:szCs w:val="14"/>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FF0FC"/>
            </w:tcBorders>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w:t>
            </w:r>
          </w:p>
        </w:tc>
        <w:tc>
          <w:tcPr>
            <w:tcW w:w="4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Dec-2022</w:t>
            </w:r>
          </w:p>
        </w:tc>
        <w:tc>
          <w:tcPr>
            <w:tcW w:w="0" w:type="dxa"/>
            <w:vAlign w:val="bottom"/>
          </w:tcPr>
          <w:p>
            <w:pPr>
              <w:spacing w:after="0"/>
              <w:rPr>
                <w:sz w:val="1"/>
                <w:szCs w:val="1"/>
                <w:color w:val="auto"/>
              </w:rPr>
            </w:pPr>
          </w:p>
        </w:tc>
      </w:tr>
      <w:tr>
        <w:trPr>
          <w:trHeight w:val="213"/>
        </w:trPr>
        <w:tc>
          <w:tcPr>
            <w:tcW w:w="272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9.73</w:t>
            </w:r>
          </w:p>
        </w:tc>
        <w:tc>
          <w:tcPr>
            <w:tcW w:w="4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0"/>
              </w:rPr>
              <w:t>Feb-2021</w:t>
            </w:r>
          </w:p>
        </w:tc>
        <w:tc>
          <w:tcPr>
            <w:tcW w:w="0" w:type="dxa"/>
            <w:vAlign w:val="bottom"/>
          </w:tcPr>
          <w:p>
            <w:pPr>
              <w:spacing w:after="0"/>
              <w:rPr>
                <w:sz w:val="1"/>
                <w:szCs w:val="1"/>
                <w:color w:val="auto"/>
              </w:rPr>
            </w:pPr>
          </w:p>
        </w:tc>
      </w:tr>
      <w:tr>
        <w:trPr>
          <w:trHeight w:val="219"/>
        </w:trPr>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400" w:type="dxa"/>
            <w:vAlign w:val="bottom"/>
            <w:shd w:val="clear" w:color="auto" w:fill="CFF0FC"/>
          </w:tcPr>
          <w:p>
            <w:pPr>
              <w:spacing w:after="0"/>
              <w:rPr>
                <w:sz w:val="19"/>
                <w:szCs w:val="19"/>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Aug-2023</w:t>
            </w:r>
          </w:p>
        </w:tc>
        <w:tc>
          <w:tcPr>
            <w:tcW w:w="0" w:type="dxa"/>
            <w:vAlign w:val="bottom"/>
          </w:tcPr>
          <w:p>
            <w:pPr>
              <w:spacing w:after="0"/>
              <w:rPr>
                <w:sz w:val="1"/>
                <w:szCs w:val="1"/>
                <w:color w:val="auto"/>
              </w:rPr>
            </w:pPr>
          </w:p>
        </w:tc>
      </w:tr>
      <w:tr>
        <w:trPr>
          <w:trHeight w:val="213"/>
        </w:trPr>
        <w:tc>
          <w:tcPr>
            <w:tcW w:w="2720" w:type="dxa"/>
            <w:vAlign w:val="bottom"/>
          </w:tcPr>
          <w:p>
            <w:pPr>
              <w:jc w:val="right"/>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9.73</w:t>
            </w:r>
          </w:p>
        </w:tc>
        <w:tc>
          <w:tcPr>
            <w:tcW w:w="4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3"/>
              </w:rPr>
              <w:t>Mar-2024</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4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Dec-2024</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convertible preferred stock warrants as of December 31, 2017: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Series 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0.6746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Dec-2022</w:t>
            </w:r>
          </w:p>
        </w:tc>
        <w:tc>
          <w:tcPr>
            <w:tcW w:w="0" w:type="dxa"/>
            <w:vAlign w:val="bottom"/>
          </w:tcPr>
          <w:p>
            <w:pPr>
              <w:spacing w:after="0"/>
              <w:rPr>
                <w:sz w:val="1"/>
                <w:szCs w:val="1"/>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Series F</w:t>
            </w:r>
          </w:p>
        </w:tc>
        <w:tc>
          <w:tcPr>
            <w:tcW w:w="1060" w:type="dxa"/>
            <w:vAlign w:val="bottom"/>
          </w:tcPr>
          <w:p>
            <w:pPr>
              <w:jc w:val="right"/>
              <w:spacing w:after="0"/>
              <w:rPr>
                <w:sz w:val="20"/>
                <w:szCs w:val="20"/>
                <w:color w:val="auto"/>
              </w:rPr>
            </w:pPr>
            <w:r>
              <w:rPr>
                <w:rFonts w:ascii="Arial" w:cs="Arial" w:eastAsia="Arial" w:hAnsi="Arial"/>
                <w:sz w:val="16"/>
                <w:szCs w:val="16"/>
                <w:color w:val="auto"/>
              </w:rPr>
              <w:t>878</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0.3356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Feb-2021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Series F</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0.3356</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Aug-2023</w:t>
            </w:r>
          </w:p>
        </w:tc>
        <w:tc>
          <w:tcPr>
            <w:tcW w:w="0" w:type="dxa"/>
            <w:vAlign w:val="bottom"/>
          </w:tcPr>
          <w:p>
            <w:pPr>
              <w:spacing w:after="0"/>
              <w:rPr>
                <w:sz w:val="1"/>
                <w:szCs w:val="1"/>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Series F</w:t>
            </w:r>
          </w:p>
        </w:tc>
        <w:tc>
          <w:tcPr>
            <w:tcW w:w="1060" w:type="dxa"/>
            <w:vAlign w:val="bottom"/>
          </w:tcPr>
          <w:p>
            <w:pPr>
              <w:jc w:val="right"/>
              <w:spacing w:after="0"/>
              <w:rPr>
                <w:sz w:val="20"/>
                <w:szCs w:val="20"/>
                <w:color w:val="auto"/>
              </w:rPr>
            </w:pPr>
            <w:r>
              <w:rPr>
                <w:rFonts w:ascii="Arial" w:cs="Arial" w:eastAsia="Arial" w:hAnsi="Arial"/>
                <w:sz w:val="16"/>
                <w:szCs w:val="16"/>
                <w:color w:val="auto"/>
              </w:rPr>
              <w:t>589</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0.3356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Mar-2024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Series F</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0.3356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potentially dilutive securities outstanding as of December 31, 2018, 2017 and 2016 have been excluded from the denominator of the diluted loss per share of common stock outstanding calculation (in thousands):</w:t>
      </w:r>
    </w:p>
    <w:p>
      <w:pPr>
        <w:spacing w:after="0" w:line="23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options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2,711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1,826</w:t>
            </w:r>
          </w:p>
        </w:tc>
        <w:tc>
          <w:tcPr>
            <w:tcW w:w="80" w:type="dxa"/>
            <w:vAlign w:val="bottom"/>
            <w:shd w:val="clear" w:color="auto" w:fill="CFF0FC"/>
          </w:tcPr>
          <w:p>
            <w:pPr>
              <w:spacing w:after="0"/>
              <w:rPr>
                <w:sz w:val="18"/>
                <w:szCs w:val="18"/>
                <w:color w:val="auto"/>
              </w:rPr>
            </w:pPr>
          </w:p>
        </w:tc>
      </w:tr>
      <w:tr>
        <w:trPr>
          <w:trHeight w:val="213"/>
        </w:trPr>
        <w:tc>
          <w:tcPr>
            <w:tcW w:w="6100" w:type="dxa"/>
            <w:vAlign w:val="bottom"/>
            <w:gridSpan w:val="3"/>
          </w:tcPr>
          <w:p>
            <w:pPr>
              <w:spacing w:after="0"/>
              <w:rPr>
                <w:sz w:val="20"/>
                <w:szCs w:val="20"/>
                <w:color w:val="auto"/>
              </w:rPr>
            </w:pPr>
            <w:r>
              <w:rPr>
                <w:rFonts w:ascii="Arial" w:cs="Arial" w:eastAsia="Arial" w:hAnsi="Arial"/>
                <w:sz w:val="16"/>
                <w:szCs w:val="16"/>
                <w:color w:val="auto"/>
              </w:rPr>
              <w:t>Non-vested restricted stock awards</w:t>
            </w: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Non-vested restricted stock units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6100" w:type="dxa"/>
            <w:vAlign w:val="bottom"/>
            <w:gridSpan w:val="3"/>
          </w:tcPr>
          <w:p>
            <w:pPr>
              <w:spacing w:after="0"/>
              <w:rPr>
                <w:sz w:val="20"/>
                <w:szCs w:val="20"/>
                <w:color w:val="auto"/>
              </w:rPr>
            </w:pPr>
            <w:r>
              <w:rPr>
                <w:rFonts w:ascii="Arial" w:cs="Arial" w:eastAsia="Arial" w:hAnsi="Arial"/>
                <w:sz w:val="16"/>
                <w:szCs w:val="16"/>
                <w:color w:val="auto"/>
              </w:rPr>
              <w:t>Convertible preferred stock warrants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0"/>
        </w:trPr>
        <w:tc>
          <w:tcPr>
            <w:tcW w:w="6100" w:type="dxa"/>
            <w:vAlign w:val="bottom"/>
            <w:gridSpan w:val="3"/>
          </w:tcPr>
          <w:p>
            <w:pPr>
              <w:spacing w:after="0"/>
              <w:rPr>
                <w:sz w:val="20"/>
                <w:szCs w:val="20"/>
                <w:color w:val="auto"/>
              </w:rPr>
            </w:pPr>
            <w:r>
              <w:rPr>
                <w:rFonts w:ascii="Arial" w:cs="Arial" w:eastAsia="Arial" w:hAnsi="Arial"/>
                <w:sz w:val="16"/>
                <w:szCs w:val="16"/>
                <w:color w:val="auto"/>
              </w:rPr>
              <w:t>Shares of convertible preferred stock “as-converted”</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10,994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9,594</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years ended December 31, 2018, 2017 and 2016 is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25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w:t>
            </w:r>
          </w:p>
        </w:tc>
        <w:tc>
          <w:tcPr>
            <w:tcW w:w="18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vMerge w:val="continue"/>
            <w:shd w:val="clear" w:color="auto" w:fill="CFF0FC"/>
          </w:tcPr>
          <w:p>
            <w:pPr>
              <w:spacing w:after="0"/>
              <w:rPr>
                <w:sz w:val="18"/>
                <w:szCs w:val="18"/>
                <w:color w:val="auto"/>
              </w:rPr>
            </w:pPr>
          </w:p>
        </w:tc>
        <w:tc>
          <w:tcPr>
            <w:tcW w:w="25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1,743</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on the date of grant,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December 31, 2018, there were 1.3 million shares available for future issuance under the 2018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Stock Incentive Plan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2003 (and as subsequently amended), the Company adopted the 2003 Stock Incentive Plan, or 2003 Plan, which authorized the issuance of up to 3.1 million shares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estimated fair value, as determined by the board of directors, of the underlying common stock on the date of the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December 31, 2018, there were no shares available for future issuance under the 2003 Plan. As of the closing of the IPO, all shares available for issuance under the 2003 Plan were carried over to the newly adopted 2018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years ended December 31, 2018,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per Option</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Outstanding at December 31, 2015</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19.63</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(194)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ind w:right="25"/>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42,773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Exercisable at December 31, 2018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27,921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Vested and expected to vest at December 31, 2018</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25"/>
              <w:spacing w:after="0"/>
              <w:rPr>
                <w:sz w:val="20"/>
                <w:szCs w:val="20"/>
                <w:color w:val="auto"/>
              </w:rPr>
            </w:pPr>
            <w:r>
              <w:rPr>
                <w:rFonts w:ascii="Arial" w:cs="Arial" w:eastAsia="Arial" w:hAnsi="Arial"/>
                <w:sz w:val="16"/>
                <w:szCs w:val="16"/>
                <w:color w:val="auto"/>
              </w:rPr>
              <w:t>7.3</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42,773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4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recognized share-based compensation expense related to stock options of $1.6 million, $0.4 million and $0.2 million for the years ended December 31, 2018, 2017 and 2016, respectively. As of December 31, 2018, there was $3.1 million of total unrecognized compensation cost related to non-vested stock options which the Company expects to recognize over a weighted-average period of 3.1 years. The weighted-average grant-date fair value of stock options granted during the years ended December 31, 2018, 2017 and 2016 was estimated at $5.03, $1.45 and $1.16 per option. The total intrinsic value of stock options exercised during the years ended December 31, 2018, 2017 and 2016 was $3.3 million, $0.1 million and de minimis, respectively.</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years ended December 31, 2018, 2017 and 2016, the grant-date fair value of stock options was estimated at the time of grant using the following weighted-average inputs and assumptions in the Black-Scholes option pricing model:</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Estimated fair value of common stock</w:t>
            </w:r>
          </w:p>
        </w:tc>
        <w:tc>
          <w:tcPr>
            <w:tcW w:w="210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8.41</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210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6"/>
              </w:rPr>
              <w:t>8.41</w:t>
            </w:r>
          </w:p>
        </w:tc>
        <w:tc>
          <w:tcPr>
            <w:tcW w:w="2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9"/>
                <w:szCs w:val="19"/>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44.2%</w:t>
            </w:r>
          </w:p>
        </w:tc>
      </w:tr>
      <w:tr>
        <w:trPr>
          <w:trHeight w:val="210"/>
        </w:trPr>
        <w:tc>
          <w:tcPr>
            <w:tcW w:w="386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April 2018, the Company’s board of directors granted options to purchase 54,794 shares of common stock to the members of the board. These options have an exercise price of $5.22 and vest in 12 equal monthly installments beginning in March 2018; however, the entire grant was subject to forfeiture if an initial public offering of the Company’s common stock did not occur by December 31, 2018. The estimated grant-date fair value of the options awards was $0.2 million. Upon the closing of the IPO on July 2, 2018, the Company recognized the fair value of the vested portion of the awards as share-based compensation expense, with the unvested portion to be recognized as share-based compensation expense ratably over the remaining service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3" w:name="page124"/>
    <w:bookmarkEnd w:id="123"/>
    <w:p>
      <w:pPr>
        <w:jc w:val="center"/>
        <w:ind w:right="-1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Company’s restricted stock award and restricted stock unit activity for the years ended December 31, 2018, 2017 and 2016:</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Non-vested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Grant-date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Grant-date</w:t>
            </w:r>
          </w:p>
        </w:tc>
      </w:tr>
      <w:tr>
        <w:trPr>
          <w:trHeight w:val="171"/>
        </w:trPr>
        <w:tc>
          <w:tcPr>
            <w:tcW w:w="53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FF0FC"/>
            </w:tcBorders>
          </w:tcPr>
          <w:p>
            <w:pPr>
              <w:spacing w:after="0"/>
              <w:rPr>
                <w:sz w:val="14"/>
                <w:szCs w:val="14"/>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Non-vested at December 31, 2015</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07"/>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Non-vested at December 31,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r>
      <w:tr>
        <w:trPr>
          <w:trHeight w:val="21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17"/>
                <w:szCs w:val="17"/>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FF0FC"/>
          </w:tcPr>
          <w:p>
            <w:pPr>
              <w:spacing w:after="0"/>
              <w:rPr>
                <w:sz w:val="19"/>
                <w:szCs w:val="19"/>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Non-vested at 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recognized share-based compensation expense related to restricted stock awards and restricted stock units of $0.2 million, $0.1 million and de minimis during the years ended December 31, 2018, 2017 and 2016, respectively. As of December 31, 2018, there was $0.9 million of unrecognized compensation cost related to non-vested restricted stock awards and restricted stock units which the Company expects to recognize over a weighted-average period of 3.4 years. The total fair value at the vesting date of restricted stock awards and restricted stock units vested during the years ended December 31, 2018, 2017 and 2016 was $0.2 million, $0.1 million and de minimis, respectively.</w:t>
      </w:r>
    </w:p>
    <w:p>
      <w:pPr>
        <w:spacing w:after="0" w:line="277" w:lineRule="exact"/>
        <w:rPr>
          <w:sz w:val="20"/>
          <w:szCs w:val="20"/>
          <w:color w:val="auto"/>
        </w:rPr>
      </w:pPr>
    </w:p>
    <w:p>
      <w:pPr>
        <w:ind w:right="8360" w:firstLine="8"/>
        <w:spacing w:after="0" w:line="378" w:lineRule="auto"/>
        <w:tabs>
          <w:tab w:leader="none" w:pos="44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Defined Contribution Plan</w:t>
      </w:r>
    </w:p>
    <w:p>
      <w:pPr>
        <w:ind w:right="40"/>
        <w:spacing w:after="0" w:line="286"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Stock Purchase Plan</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December 31, 2018, the Company had not yet approved any offering under the plan.</w:t>
      </w:r>
    </w:p>
    <w:p>
      <w:pPr>
        <w:spacing w:after="0" w:line="27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loss before income taxes was $24.1 million, $16.1 million and $11.2 million for the years ended December 31, 2018, 2017 and 2016, respectively, and was generated entirely in the United States. The Company did not record current or deferred income tax expense or benefit during the years ended December 31, 2018, 2017 and 2016.</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United States federal income tax rate to the Company’s effective tax rate is as follows:</w:t>
      </w:r>
    </w:p>
    <w:p>
      <w:pPr>
        <w:spacing w:after="0" w:line="284"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Tax 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federal statutory income tax rate</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34.0%</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State and local taxes, net of federal benefit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Nondeductible expenses</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0.7%</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Research and development credits</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rate change and true-up</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0.6%</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-138.0%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Change in valuation allowance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-26.7%</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100.3%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-36.2%</w:t>
            </w: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Effective income tax rate</w:t>
            </w:r>
          </w:p>
        </w:tc>
        <w:tc>
          <w:tcPr>
            <w:tcW w:w="6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Net operating loss carryforwards</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46,352</w:t>
            </w:r>
          </w:p>
        </w:tc>
        <w:tc>
          <w:tcPr>
            <w:tcW w:w="2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41,430</w:t>
            </w: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 credits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Accruals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Interest expense - 163(j)</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Capitalized start-up costs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temporary differences</w:t>
            </w:r>
          </w:p>
        </w:tc>
        <w:tc>
          <w:tcPr>
            <w:tcW w:w="15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deferred tax assets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53,774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47,341</w:t>
            </w: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Less: Valuation allowance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(53,774)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(47,341)</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deferred taxes</w:t>
            </w:r>
          </w:p>
        </w:tc>
        <w:tc>
          <w:tcPr>
            <w:tcW w:w="1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 associated with its net operating losses will not be realized in the immediate future. As such, there is a full valuation allowance against the net deferred tax assets as of December 31, 2018 and 2017. The valuation allowance increased / (decreased) by $6.4 and $(16.1) million during the years ended December 31, 2018 and 2017, respectively, due primarily to the generation of net operating losses and the federal tax rate reduction during the periods.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Balance at the beginning of the period</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47,341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63,449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Amounts charges to expense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6,433</w:t>
            </w:r>
          </w:p>
        </w:tc>
        <w:tc>
          <w:tcPr>
            <w:tcW w:w="2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Tax rate change (34% to 21%)</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(22,207)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Balance at the end of the period</w:t>
            </w: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80" w:type="dxa"/>
            <w:vAlign w:val="bottom"/>
            <w:vMerge w:val="continue"/>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53,774</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47,341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carryforwards of federal net operating losses and tax credits as of December 31, 2018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Beginning in</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Federal net operating losses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State net operating losses</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credits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Tax Reform Act of 1986 (the Act),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done an analysis to determine whether or not ownership changes, as defined by the Act, have occurred since inception.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2018, the Company had no accrued interest or penalties related to uncertain tax positions and no amounts have been recognized in the Company’s statements of operations. Due to net operating loss and tax credit carry forwards that remain unutilized, income tax returns for tax years from inception through 2017 remain subject to examination by the taxing jurisdictions.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2017, the Tax Cuts and Jobs Act (the “2017 Tax Act”) was enacted. The 2017 Tax Act includes a number of changes to existing U.S. tax laws that impact the company, most notably a reduction of the U.S. corporate income tax rate from 35 percent to 21 percent for tax years beginning after December 31, 2017. The 2017 Tax Act also provides for a one-time transition tax on certain foreign earnings and the acceleration of depreciation for certain assets placed into service after September 27, 2017 as well as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provided guidance on accounting for the federal tax rate change and other tax effects of the Tax Act. SAB 118 provided a measurement period that should not extend beyond one year from the Tax Act enactment date for companies to complete the accounting under ASC 740, Income Taxes. In connection with our adoption of the Tax Act and in consideration of SAB 118, there were no changes made to the provisional amounts recognized in 2017 in connection with the enactment of the Tax Reform Act. The accounting for the income tax effects of the Tax Reform Act is complete as of December 31, 2018.</w:t>
      </w:r>
    </w:p>
    <w:p>
      <w:pPr>
        <w:spacing w:after="0" w:line="292" w:lineRule="exact"/>
        <w:rPr>
          <w:sz w:val="20"/>
          <w:szCs w:val="20"/>
          <w:color w:val="auto"/>
        </w:rPr>
      </w:pPr>
    </w:p>
    <w:p>
      <w:pPr>
        <w:ind w:right="7520" w:firstLine="8"/>
        <w:spacing w:after="0" w:line="378" w:lineRule="auto"/>
        <w:tabs>
          <w:tab w:leader="none" w:pos="44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ind w:right="180"/>
        <w:spacing w:after="0" w:line="277"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In January 2013, the Company entered into a 93-month lease for its headquarters office and warehouse. The Company also rents certain office equipment. The Company recognizes rent expense on a straight-line basis over the lease period and has accrued for rent expense incurred but not yet paid. Landlord allowances for tenant improvements are deferred and recognized as a reduction to rent expense on a straight-line basis and over the remaining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Rent expense under operating leases was $0.5 million, $0.5 million and $0.6 for the years ended December 31, 2018, 2017 and 2016,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schedule of future minimum annual payments at December 31, 2018 under non-cancelable operating lease agreements (in thousands):</w:t>
      </w:r>
    </w:p>
    <w:p>
      <w:pPr>
        <w:spacing w:after="0" w:line="24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260" w:type="dxa"/>
            <w:vAlign w:val="bottom"/>
            <w:shd w:val="clear" w:color="auto" w:fill="CFF0FC"/>
          </w:tcPr>
          <w:p>
            <w:pPr>
              <w:jc w:val="right"/>
              <w:ind w:right="1919"/>
              <w:spacing w:after="0"/>
              <w:rPr>
                <w:sz w:val="20"/>
                <w:szCs w:val="20"/>
                <w:color w:val="auto"/>
              </w:rPr>
            </w:pPr>
            <w:r>
              <w:rPr>
                <w:rFonts w:ascii="Arial" w:cs="Arial" w:eastAsia="Arial" w:hAnsi="Arial"/>
                <w:sz w:val="16"/>
                <w:szCs w:val="16"/>
                <w:color w:val="auto"/>
                <w:w w:val="88"/>
              </w:rPr>
              <w:t>For the years ending December 31,</w:t>
            </w:r>
          </w:p>
        </w:tc>
        <w:tc>
          <w:tcPr>
            <w:tcW w:w="1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7"/>
        </w:trPr>
        <w:tc>
          <w:tcPr>
            <w:tcW w:w="4260" w:type="dxa"/>
            <w:vAlign w:val="bottom"/>
          </w:tcPr>
          <w:p>
            <w:pPr>
              <w:jc w:val="right"/>
              <w:ind w:right="3619"/>
              <w:spacing w:after="0"/>
              <w:rPr>
                <w:sz w:val="20"/>
                <w:szCs w:val="20"/>
                <w:color w:val="auto"/>
              </w:rPr>
            </w:pPr>
            <w:r>
              <w:rPr>
                <w:rFonts w:ascii="Arial" w:cs="Arial" w:eastAsia="Arial" w:hAnsi="Arial"/>
                <w:sz w:val="16"/>
                <w:szCs w:val="16"/>
                <w:color w:val="auto"/>
              </w:rPr>
              <w:t>2019</w:t>
            </w:r>
          </w:p>
        </w:tc>
        <w:tc>
          <w:tcPr>
            <w:tcW w:w="17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547</w:t>
            </w:r>
          </w:p>
        </w:tc>
        <w:tc>
          <w:tcPr>
            <w:tcW w:w="60" w:type="dxa"/>
            <w:vAlign w:val="bottom"/>
          </w:tcPr>
          <w:p>
            <w:pPr>
              <w:spacing w:after="0"/>
              <w:rPr>
                <w:sz w:val="19"/>
                <w:szCs w:val="19"/>
                <w:color w:val="auto"/>
              </w:rPr>
            </w:pPr>
          </w:p>
        </w:tc>
      </w:tr>
      <w:tr>
        <w:trPr>
          <w:trHeight w:val="233"/>
        </w:trPr>
        <w:tc>
          <w:tcPr>
            <w:tcW w:w="4260" w:type="dxa"/>
            <w:vAlign w:val="bottom"/>
            <w:shd w:val="clear" w:color="auto" w:fill="CFF0FC"/>
          </w:tcPr>
          <w:p>
            <w:pPr>
              <w:jc w:val="right"/>
              <w:ind w:right="3619"/>
              <w:spacing w:after="0"/>
              <w:rPr>
                <w:sz w:val="20"/>
                <w:szCs w:val="20"/>
                <w:color w:val="auto"/>
              </w:rPr>
            </w:pPr>
            <w:r>
              <w:rPr>
                <w:rFonts w:ascii="Arial" w:cs="Arial" w:eastAsia="Arial" w:hAnsi="Arial"/>
                <w:sz w:val="16"/>
                <w:szCs w:val="16"/>
                <w:color w:val="auto"/>
              </w:rPr>
              <w:t>2020</w:t>
            </w:r>
          </w:p>
        </w:tc>
        <w:tc>
          <w:tcPr>
            <w:tcW w:w="13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60" w:type="dxa"/>
            <w:vAlign w:val="bottom"/>
            <w:shd w:val="clear" w:color="auto" w:fill="CFF0FC"/>
          </w:tcPr>
          <w:p>
            <w:pPr>
              <w:spacing w:after="0"/>
              <w:rPr>
                <w:sz w:val="20"/>
                <w:szCs w:val="20"/>
                <w:color w:val="auto"/>
              </w:rPr>
            </w:pPr>
          </w:p>
        </w:tc>
      </w:tr>
      <w:tr>
        <w:trPr>
          <w:trHeight w:val="227"/>
        </w:trPr>
        <w:tc>
          <w:tcPr>
            <w:tcW w:w="4260" w:type="dxa"/>
            <w:vAlign w:val="bottom"/>
            <w:tcBorders>
              <w:bottom w:val="single" w:sz="8" w:color="CFF0FC"/>
            </w:tcBorders>
          </w:tcPr>
          <w:p>
            <w:pPr>
              <w:jc w:val="right"/>
              <w:ind w:right="3619"/>
              <w:spacing w:after="0"/>
              <w:rPr>
                <w:sz w:val="20"/>
                <w:szCs w:val="20"/>
                <w:color w:val="auto"/>
              </w:rPr>
            </w:pPr>
            <w:r>
              <w:rPr>
                <w:rFonts w:ascii="Arial" w:cs="Arial" w:eastAsia="Arial" w:hAnsi="Arial"/>
                <w:sz w:val="16"/>
                <w:szCs w:val="16"/>
                <w:color w:val="auto"/>
              </w:rPr>
              <w:t>2021</w:t>
            </w:r>
          </w:p>
        </w:tc>
        <w:tc>
          <w:tcPr>
            <w:tcW w:w="1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60" w:type="dxa"/>
            <w:vAlign w:val="bottom"/>
            <w:tcBorders>
              <w:bottom w:val="single" w:sz="8" w:color="CFF0FC"/>
            </w:tcBorders>
          </w:tcPr>
          <w:p>
            <w:pPr>
              <w:spacing w:after="0"/>
              <w:rPr>
                <w:sz w:val="19"/>
                <w:szCs w:val="19"/>
                <w:color w:val="auto"/>
              </w:rPr>
            </w:pPr>
          </w:p>
        </w:tc>
      </w:tr>
      <w:tr>
        <w:trPr>
          <w:trHeight w:val="210"/>
        </w:trPr>
        <w:tc>
          <w:tcPr>
            <w:tcW w:w="4260" w:type="dxa"/>
            <w:vAlign w:val="bottom"/>
            <w:shd w:val="clear" w:color="auto" w:fill="CFF0FC"/>
          </w:tcPr>
          <w:p>
            <w:pPr>
              <w:jc w:val="right"/>
              <w:ind w:right="1239"/>
              <w:spacing w:after="0"/>
              <w:rPr>
                <w:sz w:val="20"/>
                <w:szCs w:val="20"/>
                <w:color w:val="auto"/>
              </w:rPr>
            </w:pPr>
            <w:r>
              <w:rPr>
                <w:rFonts w:ascii="Arial" w:cs="Arial" w:eastAsia="Arial" w:hAnsi="Arial"/>
                <w:sz w:val="16"/>
                <w:szCs w:val="16"/>
                <w:color w:val="auto"/>
              </w:rPr>
              <w:t>Total future minimum lease payments</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6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b w:val="1"/>
          <w:bCs w:val="1"/>
          <w:color w:val="50748A"/>
        </w:rPr>
        <w:t>.</w:t>
      </w:r>
      <w:r>
        <w:rPr>
          <w:rFonts w:ascii="Arial" w:cs="Arial" w:eastAsia="Arial" w:hAnsi="Arial"/>
          <w:sz w:val="18"/>
          <w:szCs w:val="18"/>
          <w:b w:val="1"/>
          <w:bCs w:val="1"/>
          <w:color w:val="auto"/>
        </w:rPr>
        <w:tab/>
        <w:t>DISTRIBUTION AGREEMENT WITH TEIJIN PHARMA LIMITED</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w:t>
      </w:r>
    </w:p>
    <w:p>
      <w:pPr>
        <w:spacing w:after="0" w:line="19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Teijin is required to purchase minimum dollar values of NeuroStar Advanced Therapy Systems and treatment sessions from the Company following reimbursement approval by the Japanese Ministry of Health, Labour and Welfare, or JMHLW, for TMS treatment for MDD (or, if such approval requires certified training on the NeuroStar Advanced Therapy System by a third party, then upon the first psychiatrist being issued his or her training certification).</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2017, under the distribution agreement with Teijin, the Company received an upfront payment of $0.75 million and a milestone payment of $2.0 million following JMHLW’s approval of marketing the NeuroStar Advanced Therapy System for the treatment of MDD in Japan. These upfront and milestone payments have been deferred and are being recognized as revenue over the seven- and one-half year term of the agreement. Teijin is required to pay the Company a milestone payment tied to JMHLW issuing reimbursement for use of its products for the treatment of MDD in Japan.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distribution agreement is scheduled to expire on March 31, 2025, subject to earlier termination if we or Teijin breach the agreement, Teijin fails to maintain distributor-level permits and approvals, Teijin fails to purchase from us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29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was generated in the following geographic regions for the years indicated (in thousands):</w:t>
      </w:r>
    </w:p>
    <w:p>
      <w:pPr>
        <w:spacing w:after="0" w:line="2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Revenue by Geography</w:t>
      </w:r>
    </w:p>
    <w:p>
      <w:pPr>
        <w:jc w:val="center"/>
        <w:ind w:left="570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of Revenues</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of Revenues</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51,477</w:t>
            </w:r>
          </w:p>
        </w:tc>
        <w:tc>
          <w:tcPr>
            <w:tcW w:w="3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39,853</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1,299</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w:t>
            </w: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52,776</w:t>
            </w:r>
          </w:p>
        </w:tc>
        <w:tc>
          <w:tcPr>
            <w:tcW w:w="3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5980" w:firstLine="8"/>
        <w:spacing w:after="0" w:line="488" w:lineRule="auto"/>
        <w:tabs>
          <w:tab w:leader="none" w:pos="43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SUPPLEMENTARY FINANCIAL INFORMATION (Unaudited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financial information for the quarterly periods noted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3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080" w:type="dxa"/>
            <w:vAlign w:val="bottom"/>
          </w:tcPr>
          <w:p>
            <w:pPr>
              <w:jc w:val="right"/>
              <w:ind w:right="1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0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17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10,703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20"/>
                <w:szCs w:val="20"/>
                <w:color w:val="auto"/>
              </w:rPr>
            </w:pPr>
            <w:r>
              <w:rPr>
                <w:rFonts w:ascii="Arial" w:cs="Arial" w:eastAsia="Arial" w:hAnsi="Arial"/>
                <w:sz w:val="16"/>
                <w:szCs w:val="16"/>
                <w:color w:val="auto"/>
              </w:rPr>
              <w:t>Operating expenses:</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7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15,243</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15,035</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17,585</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(5,236)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(4,332)</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20"/>
                <w:szCs w:val="20"/>
                <w:color w:val="auto"/>
              </w:rPr>
            </w:pPr>
            <w:r>
              <w:rPr>
                <w:rFonts w:ascii="Arial" w:cs="Arial" w:eastAsia="Arial" w:hAnsi="Arial"/>
                <w:sz w:val="16"/>
                <w:szCs w:val="16"/>
                <w:color w:val="auto"/>
              </w:rPr>
              <w:t>Other (income) expense:</w:t>
            </w:r>
          </w:p>
        </w:tc>
        <w:tc>
          <w:tcPr>
            <w:tcW w:w="1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(5,497)</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(7,496)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w:t>
            </w: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Pr>
          <w:p>
            <w:pPr>
              <w:ind w:left="120"/>
              <w:spacing w:after="0"/>
              <w:rPr>
                <w:sz w:val="20"/>
                <w:szCs w:val="20"/>
                <w:color w:val="auto"/>
              </w:rPr>
            </w:pPr>
            <w:r>
              <w:rPr>
                <w:rFonts w:ascii="Arial" w:cs="Arial" w:eastAsia="Arial" w:hAnsi="Arial"/>
                <w:sz w:val="16"/>
                <w:szCs w:val="16"/>
                <w:color w:val="auto"/>
              </w:rPr>
              <w:t>outstanding, basic and diluted</w:t>
            </w:r>
          </w:p>
        </w:tc>
        <w:tc>
          <w:tcPr>
            <w:tcW w:w="20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(24.43)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(30.60)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w:t>
            </w:r>
          </w:p>
        </w:tc>
        <w:tc>
          <w:tcPr>
            <w:tcW w:w="17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outstanding, basic and diluted</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17,382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17,655</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F-30</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3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080" w:type="dxa"/>
            <w:vAlign w:val="bottom"/>
          </w:tcPr>
          <w:p>
            <w:pPr>
              <w:jc w:val="right"/>
              <w:ind w:right="1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8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6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1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7,855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Operating expenses: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6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10,384</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(2,810)</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Other (income) expense:</w:t>
            </w:r>
          </w:p>
        </w:tc>
        <w:tc>
          <w:tcPr>
            <w:tcW w:w="1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(4,514)</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(2,868)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(3,753)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(4,924)</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w:t>
            </w:r>
          </w:p>
        </w:tc>
        <w:tc>
          <w:tcPr>
            <w:tcW w:w="1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20" w:type="dxa"/>
            <w:vAlign w:val="bottom"/>
          </w:tcPr>
          <w:p>
            <w:pPr>
              <w:ind w:left="120"/>
              <w:spacing w:after="0"/>
              <w:rPr>
                <w:sz w:val="20"/>
                <w:szCs w:val="20"/>
                <w:color w:val="auto"/>
              </w:rPr>
            </w:pPr>
            <w:r>
              <w:rPr>
                <w:rFonts w:ascii="Arial" w:cs="Arial" w:eastAsia="Arial" w:hAnsi="Arial"/>
                <w:sz w:val="16"/>
                <w:szCs w:val="16"/>
                <w:color w:val="auto"/>
              </w:rPr>
              <w:t>outstanding, basic and diluted</w:t>
            </w:r>
          </w:p>
        </w:tc>
        <w:tc>
          <w:tcPr>
            <w:tcW w:w="18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(27.03)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(16.58)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(19.35)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19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w:t>
            </w:r>
          </w:p>
        </w:tc>
        <w:tc>
          <w:tcPr>
            <w:tcW w:w="16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outstanding, basic and diluted</w:t>
            </w: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Quarterly computations of net loss per share amounts are made independently for each quarterly reporting period, and the sum of the per share amounts for the quarterly reporting periods may not equal the per share amounts for the year-to-date reporting period. Net loss per share for the three months ended September 30, 2018 and December 31, 2018 include, on a weighted-average basis, the 11.0 million shares of common stock issued upon the conversion of all outstanding shares of convertible preferred stock immediately prior to the closing of the IPO and 6.325 million shares of common stock issued upon the closing of the IPO on July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40" w:type="dxa"/>
            <w:vAlign w:val="bottom"/>
            <w:gridSpan w:val="25"/>
          </w:tcPr>
          <w:p>
            <w:pPr>
              <w:ind w:left="520"/>
              <w:spacing w:after="0"/>
              <w:rPr>
                <w:sz w:val="20"/>
                <w:szCs w:val="20"/>
                <w:color w:val="auto"/>
              </w:rPr>
            </w:pPr>
            <w:r>
              <w:rPr>
                <w:rFonts w:ascii="Arial" w:cs="Arial" w:eastAsia="Arial" w:hAnsi="Arial"/>
                <w:sz w:val="18"/>
                <w:szCs w:val="18"/>
                <w:b w:val="1"/>
                <w:bCs w:val="1"/>
                <w:color w:val="auto"/>
              </w:rPr>
              <w:t>EXHIBIT INDEX</w:t>
            </w:r>
          </w:p>
        </w:tc>
      </w:tr>
      <w:tr>
        <w:trPr>
          <w:trHeight w:val="400"/>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80" w:type="dxa"/>
            <w:vAlign w:val="bottom"/>
            <w:gridSpan w:val="24"/>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97"/>
        </w:trPr>
        <w:tc>
          <w:tcPr>
            <w:tcW w:w="1040" w:type="dxa"/>
            <w:vAlign w:val="bottom"/>
          </w:tcPr>
          <w:p>
            <w:pPr>
              <w:ind w:left="100"/>
              <w:spacing w:after="0"/>
              <w:rPr>
                <w:sz w:val="20"/>
                <w:szCs w:val="20"/>
                <w:color w:val="auto"/>
              </w:rPr>
            </w:pPr>
            <w:r>
              <w:rPr>
                <w:rFonts w:ascii="Arial" w:cs="Arial" w:eastAsia="Arial" w:hAnsi="Arial"/>
                <w:sz w:val="18"/>
                <w:szCs w:val="18"/>
                <w:color w:val="auto"/>
              </w:rPr>
              <w:t>3.1</w:t>
            </w:r>
          </w:p>
        </w:tc>
        <w:tc>
          <w:tcPr>
            <w:tcW w:w="10400" w:type="dxa"/>
            <w:vAlign w:val="bottom"/>
            <w:gridSpan w:val="29"/>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Ninth Amended and Restated Certificate of Incorporation of the Registrant (incorporated by reference to Exhibit 3.1 to the Form 8-K filed July</w:t>
              </w:r>
            </w:hyperlink>
          </w:p>
        </w:tc>
      </w:tr>
      <w:tr>
        <w:trPr>
          <w:trHeight w:val="196"/>
        </w:trPr>
        <w:tc>
          <w:tcPr>
            <w:tcW w:w="10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63">
              <w:r>
                <w:rPr>
                  <w:rFonts w:ascii="Arial" w:cs="Arial" w:eastAsia="Arial" w:hAnsi="Arial"/>
                  <w:sz w:val="18"/>
                  <w:szCs w:val="18"/>
                  <w:color w:val="0000EE"/>
                  <w:w w:val="87"/>
                </w:rPr>
                <w:t>6, 2018)</w:t>
              </w:r>
            </w:hyperlink>
          </w:p>
        </w:tc>
        <w:tc>
          <w:tcPr>
            <w:tcW w:w="30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w:t>
            </w:r>
          </w:p>
        </w:tc>
        <w:tc>
          <w:tcPr>
            <w:tcW w:w="9640" w:type="dxa"/>
            <w:vAlign w:val="bottom"/>
            <w:tcBorders>
              <w:bottom w:val="single" w:sz="8" w:color="0000EE"/>
            </w:tcBorders>
            <w:gridSpan w:val="16"/>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Second Amended and Restated Bylaws of the Registrant (incorporated by reference to Exhibit 3.2 to the Form 8-K filed July 6, 2018)</w:t>
              </w:r>
            </w:hyperlink>
          </w:p>
        </w:tc>
        <w:tc>
          <w:tcPr>
            <w:tcW w:w="760" w:type="dxa"/>
            <w:vAlign w:val="bottom"/>
            <w:gridSpan w:val="13"/>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EE"/>
            </w:tcBorders>
            <w:gridSpan w:val="24"/>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Specimen Stock Certificate evidencing shares of common stock of the Registrant (incorporated by reference to Exhibit 4.1 to the Registrant’s</w:t>
              </w:r>
            </w:hyperlink>
          </w:p>
        </w:tc>
        <w:tc>
          <w:tcPr>
            <w:tcW w:w="2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9"/>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4.2</w:t>
            </w:r>
          </w:p>
        </w:tc>
        <w:tc>
          <w:tcPr>
            <w:tcW w:w="10400" w:type="dxa"/>
            <w:vAlign w:val="bottom"/>
            <w:gridSpan w:val="29"/>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Form of Warrant to Purchase Stock, by and between the Registrant and Oxford Finance LLC (incorporated by reference to Exhibit 4.2 to the</w:t>
              </w:r>
            </w:hyperlink>
          </w:p>
        </w:tc>
      </w:tr>
      <w:tr>
        <w:trPr>
          <w:trHeight w:val="196"/>
        </w:trPr>
        <w:tc>
          <w:tcPr>
            <w:tcW w:w="104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Registration Statement on Form S-1 (File No. 333- 225307))</w:t>
              </w:r>
            </w:hyperlink>
          </w:p>
        </w:tc>
        <w:tc>
          <w:tcPr>
            <w:tcW w:w="5720" w:type="dxa"/>
            <w:vAlign w:val="bottom"/>
            <w:tcBorders>
              <w:top w:val="single" w:sz="8" w:color="0000EE"/>
            </w:tcBorders>
            <w:gridSpan w:val="16"/>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4.3</w:t>
            </w:r>
          </w:p>
        </w:tc>
        <w:tc>
          <w:tcPr>
            <w:tcW w:w="10400" w:type="dxa"/>
            <w:vAlign w:val="bottom"/>
            <w:gridSpan w:val="29"/>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Warrant to Purchase Stock, by and between the Registrant and Comerica Bank, dated December 20, 2012 (incorporated by reference to Exhibit</w:t>
              </w:r>
            </w:hyperlink>
          </w:p>
        </w:tc>
      </w:tr>
      <w:tr>
        <w:trPr>
          <w:trHeight w:val="196"/>
        </w:trPr>
        <w:tc>
          <w:tcPr>
            <w:tcW w:w="104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4.</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to the Registration Statement on Form S-1 (File No. 333-225307))</w:t>
              </w:r>
            </w:hyperlink>
          </w:p>
        </w:tc>
        <w:tc>
          <w:tcPr>
            <w:tcW w:w="5240" w:type="dxa"/>
            <w:vAlign w:val="bottom"/>
            <w:tcBorders>
              <w:top w:val="single" w:sz="8" w:color="0000EE"/>
            </w:tcBorders>
            <w:gridSpan w:val="1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29"/>
          </w:tcPr>
          <w:p>
            <w:pPr>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Distribution Agreement, by and between the Registrant and Teijin Pharma Limited, dated October 12, 2017 (incorporated by reference to</w:t>
              </w:r>
            </w:hyperlink>
          </w:p>
        </w:tc>
      </w:tr>
      <w:tr>
        <w:trPr>
          <w:trHeight w:val="196"/>
        </w:trPr>
        <w:tc>
          <w:tcPr>
            <w:tcW w:w="104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Exhibit 10.1 to the Registrant’s Registration Statement on Form S-1 (File No. 333-225307))</w:t>
              </w:r>
            </w:hyperlink>
          </w:p>
        </w:tc>
        <w:tc>
          <w:tcPr>
            <w:tcW w:w="3240" w:type="dxa"/>
            <w:vAlign w:val="bottom"/>
            <w:tcBorders>
              <w:top w:val="single" w:sz="8" w:color="0000EE"/>
            </w:tcBorders>
            <w:gridSpan w:val="7"/>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tcBorders>
              <w:bottom w:val="single" w:sz="8" w:color="0000EE"/>
            </w:tcBorders>
            <w:gridSpan w:val="21"/>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Sixth Amended and Restated Investors’ Rights Agreement by and among the Registrant and certain of its stockholders, dated June 1, 2017</w:t>
              </w:r>
            </w:hyperlink>
          </w:p>
        </w:tc>
        <w:tc>
          <w:tcPr>
            <w:tcW w:w="42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9"/>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(incorporated by reference to Exhibit 10.2 to the Registrant’s 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9740" w:type="dxa"/>
            <w:vAlign w:val="bottom"/>
            <w:tcBorders>
              <w:bottom w:val="single" w:sz="8" w:color="0000EE"/>
            </w:tcBorders>
            <w:gridSpan w:val="17"/>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Sixth Amended and Restated Stockholders’ Agreement by and among the Registrant and certain of its stockholders, dated June 1, 2017</w:t>
              </w:r>
            </w:hyperlink>
          </w:p>
        </w:tc>
        <w:tc>
          <w:tcPr>
            <w:tcW w:w="6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(incorporated by reference to Exhibit 10.3 to the Registrant’s 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28"/>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Employment Agreement by and between the Registrant and Christopher Thatcher, dated as of November 1, 2014, as amended on May 25, 2018</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(incorporated by reference to Exhibit 10.4 to the Registrant’s Registration Statement on Form S-1 (File No. 333-225307))</w:t>
              </w:r>
            </w:hyperlink>
          </w:p>
        </w:tc>
        <w:tc>
          <w:tcPr>
            <w:tcW w:w="1620" w:type="dxa"/>
            <w:vAlign w:val="bottom"/>
            <w:gridSpan w:val="15"/>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gridSpan w:val="29"/>
          </w:tcPr>
          <w:p>
            <w:pPr>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Offer Letter, dated August 11, 2016, by and between the Registrant and Greg Harper (incorporated by reference to Exhibit 10.5 to the</w:t>
              </w:r>
            </w:hyperlink>
          </w:p>
        </w:tc>
      </w:tr>
      <w:tr>
        <w:trPr>
          <w:trHeight w:val="196"/>
        </w:trPr>
        <w:tc>
          <w:tcPr>
            <w:tcW w:w="104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Registrant’s Registration Statement on Form S-1 (File No. 333-225307))</w:t>
              </w:r>
            </w:hyperlink>
          </w:p>
        </w:tc>
        <w:tc>
          <w:tcPr>
            <w:tcW w:w="80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gridSpan w:val="29"/>
          </w:tcPr>
          <w:p>
            <w:pPr>
              <w:spacing w:after="0"/>
              <w:rPr>
                <w:rFonts w:ascii="Arial" w:cs="Arial" w:eastAsia="Arial" w:hAnsi="Arial"/>
                <w:sz w:val="18"/>
                <w:szCs w:val="18"/>
                <w:color w:val="0000EE"/>
                <w:w w:val="95"/>
              </w:rPr>
            </w:pPr>
            <w:hyperlink r:id="rId173">
              <w:r>
                <w:rPr>
                  <w:rFonts w:ascii="Arial" w:cs="Arial" w:eastAsia="Arial" w:hAnsi="Arial"/>
                  <w:sz w:val="18"/>
                  <w:szCs w:val="18"/>
                  <w:color w:val="0000EE"/>
                  <w:w w:val="95"/>
                </w:rPr>
                <w:t>Offer Letter, dated February 27, 2017, by and between the Registrant and Peter Donato (incorporated by reference to Exhibit 10.6 to the</w:t>
              </w:r>
            </w:hyperlink>
          </w:p>
        </w:tc>
      </w:tr>
      <w:tr>
        <w:trPr>
          <w:trHeight w:val="196"/>
        </w:trPr>
        <w:tc>
          <w:tcPr>
            <w:tcW w:w="1040" w:type="dxa"/>
            <w:vAlign w:val="bottom"/>
          </w:tcPr>
          <w:p>
            <w:pPr>
              <w:spacing w:after="0"/>
              <w:rPr>
                <w:sz w:val="17"/>
                <w:szCs w:val="17"/>
                <w:color w:val="auto"/>
              </w:rPr>
            </w:pPr>
          </w:p>
        </w:tc>
        <w:tc>
          <w:tcPr>
            <w:tcW w:w="9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Registrant’s Registration Statement on Form S-1 (File No. 333-225307))</w:t>
              </w:r>
            </w:hyperlink>
          </w:p>
        </w:tc>
        <w:tc>
          <w:tcPr>
            <w:tcW w:w="62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200" w:type="dxa"/>
            <w:vAlign w:val="bottom"/>
            <w:tcBorders>
              <w:bottom w:val="single" w:sz="8" w:color="0000EE"/>
            </w:tcBorders>
            <w:gridSpan w:val="25"/>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Indemnification Agreement between the Registrant and its non-employee directors and officers (incorporated by reference to Exhibit</w:t>
              </w:r>
            </w:hyperlink>
          </w:p>
        </w:tc>
        <w:tc>
          <w:tcPr>
            <w:tcW w:w="2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7</w:t>
              </w:r>
              <w:r>
                <w:rPr>
                  <w:rFonts w:ascii="Arial" w:cs="Arial" w:eastAsia="Arial" w:hAnsi="Arial"/>
                  <w:sz w:val="18"/>
                  <w:szCs w:val="18"/>
                  <w:color w:val="0000EE"/>
                  <w:w w:val="90"/>
                </w:rPr>
                <w:t xml:space="preserve"> to the Registrant’s Registration Statement on Form S-1 (File No. 333-225307))</w:t>
              </w:r>
            </w:hyperlink>
          </w:p>
        </w:tc>
        <w:tc>
          <w:tcPr>
            <w:tcW w:w="4340" w:type="dxa"/>
            <w:vAlign w:val="bottom"/>
            <w:gridSpan w:val="19"/>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gridSpan w:val="29"/>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Loan and Security Agreement by and between Oxford Finance LLC and the Registrant, dated March 28, 2017 (incorporated by reference to</w:t>
              </w:r>
            </w:hyperlink>
          </w:p>
        </w:tc>
      </w:tr>
      <w:tr>
        <w:trPr>
          <w:trHeight w:val="196"/>
        </w:trPr>
        <w:tc>
          <w:tcPr>
            <w:tcW w:w="104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Exhibit 10.8 to the Registrant’s Registration Statement on Form S-1 (File No. 333-225307))</w:t>
              </w:r>
            </w:hyperlink>
          </w:p>
        </w:tc>
        <w:tc>
          <w:tcPr>
            <w:tcW w:w="344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tcBorders>
              <w:bottom w:val="single" w:sz="8" w:color="0000EE"/>
            </w:tcBorders>
            <w:gridSpan w:val="26"/>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Amended and Restated 2003 Stock Incentive Plan of the Registrant, as amended (incorporated by reference to Exhibit 10.9 to the Registrant’s</w:t>
              </w:r>
            </w:hyperlink>
          </w:p>
        </w:tc>
        <w:tc>
          <w:tcPr>
            <w:tcW w:w="1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9"/>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5560" w:type="dxa"/>
            <w:vAlign w:val="bottom"/>
            <w:gridSpan w:val="1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gridSpan w:val="29"/>
          </w:tcPr>
          <w:p>
            <w:pPr>
              <w:spacing w:after="0"/>
              <w:rPr>
                <w:rFonts w:ascii="Arial" w:cs="Arial" w:eastAsia="Arial" w:hAnsi="Arial"/>
                <w:sz w:val="18"/>
                <w:szCs w:val="18"/>
                <w:color w:val="0000EE"/>
                <w:w w:val="96"/>
              </w:rPr>
            </w:pPr>
            <w:hyperlink r:id="rId177">
              <w:r>
                <w:rPr>
                  <w:rFonts w:ascii="Arial" w:cs="Arial" w:eastAsia="Arial" w:hAnsi="Arial"/>
                  <w:sz w:val="18"/>
                  <w:szCs w:val="18"/>
                  <w:color w:val="0000EE"/>
                  <w:w w:val="96"/>
                </w:rPr>
                <w:t>2018 Equity Incentive Plan (incorporated by reference to Exhibit 10.10 to the Registrant’s Quarterly Report on Form 10-Q (File No. 001-</w:t>
              </w:r>
            </w:hyperlink>
          </w:p>
        </w:tc>
      </w:tr>
      <w:tr>
        <w:trPr>
          <w:trHeight w:val="196"/>
        </w:trPr>
        <w:tc>
          <w:tcPr>
            <w:tcW w:w="10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38546)</w:t>
              </w:r>
              <w:r>
                <w:rPr>
                  <w:rFonts w:ascii="Arial" w:cs="Arial" w:eastAsia="Arial" w:hAnsi="Arial"/>
                  <w:sz w:val="18"/>
                  <w:szCs w:val="18"/>
                  <w:u w:val="single" w:color="auto"/>
                  <w:color w:val="0000EE"/>
                  <w:w w:val="86"/>
                </w:rPr>
                <w:t>)</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29"/>
          </w:tcPr>
          <w:p>
            <w:pPr>
              <w:spacing w:after="0"/>
              <w:rPr>
                <w:rFonts w:ascii="Arial" w:cs="Arial" w:eastAsia="Arial" w:hAnsi="Arial"/>
                <w:sz w:val="18"/>
                <w:szCs w:val="18"/>
                <w:color w:val="0000EE"/>
                <w:w w:val="92"/>
              </w:rPr>
            </w:pPr>
            <w:hyperlink r:id="rId178">
              <w:r>
                <w:rPr>
                  <w:rFonts w:ascii="Arial" w:cs="Arial" w:eastAsia="Arial" w:hAnsi="Arial"/>
                  <w:sz w:val="18"/>
                  <w:szCs w:val="18"/>
                  <w:color w:val="0000EE"/>
                  <w:w w:val="92"/>
                </w:rPr>
                <w:t>2018 Employee Stock Purchase Plan (incorporated by reference to Exhibit 10.11 to the Registrant’s Quarterly Report on Form 10-Q (File No.</w:t>
              </w:r>
            </w:hyperlink>
          </w:p>
        </w:tc>
      </w:tr>
      <w:tr>
        <w:trPr>
          <w:trHeight w:val="196"/>
        </w:trPr>
        <w:tc>
          <w:tcPr>
            <w:tcW w:w="10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001-38546))</w:t>
              </w:r>
            </w:hyperlink>
          </w:p>
        </w:tc>
        <w:tc>
          <w:tcPr>
            <w:tcW w:w="2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89"/>
        </w:trPr>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gridSpan w:val="25"/>
          </w:tcPr>
          <w:p>
            <w:pPr>
              <w:spacing w:after="0"/>
              <w:rPr>
                <w:rFonts w:ascii="Arial" w:cs="Arial" w:eastAsia="Arial" w:hAnsi="Arial"/>
                <w:sz w:val="18"/>
                <w:szCs w:val="18"/>
                <w:color w:val="0000EE"/>
                <w:w w:val="94"/>
              </w:rPr>
            </w:pPr>
            <w:hyperlink r:id="rId181">
              <w:r>
                <w:rPr>
                  <w:rFonts w:ascii="Arial" w:cs="Arial" w:eastAsia="Arial" w:hAnsi="Arial"/>
                  <w:sz w:val="18"/>
                  <w:szCs w:val="18"/>
                  <w:color w:val="0000EE"/>
                  <w:w w:val="94"/>
                </w:rPr>
                <w:t>Lease Agreement by and between Exeter 3222 Phoenixville, L.P. and the Registrant, dated January 3, 2013 (incorporated by reference to</w:t>
              </w:r>
            </w:hyperlink>
          </w:p>
        </w:tc>
      </w:tr>
      <w:tr>
        <w:trPr>
          <w:trHeight w:val="196"/>
        </w:trPr>
        <w:tc>
          <w:tcPr>
            <w:tcW w:w="1040" w:type="dxa"/>
            <w:vAlign w:val="bottom"/>
          </w:tcPr>
          <w:p>
            <w:pPr>
              <w:spacing w:after="0"/>
              <w:rPr>
                <w:sz w:val="17"/>
                <w:szCs w:val="17"/>
                <w:color w:val="auto"/>
              </w:rPr>
            </w:pPr>
          </w:p>
        </w:tc>
        <w:tc>
          <w:tcPr>
            <w:tcW w:w="9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Exhibit 10.12 to the Registration Statement on Form S-1 (File No. 333-225307))</w:t>
              </w:r>
            </w:hyperlink>
          </w:p>
        </w:tc>
        <w:tc>
          <w:tcPr>
            <w:tcW w:w="54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9920" w:type="dxa"/>
            <w:vAlign w:val="bottom"/>
            <w:tcBorders>
              <w:bottom w:val="single" w:sz="8" w:color="0000EE"/>
            </w:tcBorders>
            <w:gridSpan w:val="17"/>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Form of Non-Qualified Stock Option Agreement for the Amended and Restated 2003 Stock Incentive Plan, as amended, of the Registrant</w:t>
              </w:r>
            </w:hyperlink>
          </w:p>
        </w:tc>
        <w:tc>
          <w:tcPr>
            <w:tcW w:w="4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(incorporated by reference to Exhibit 10.13 to the Registrant’s Registration Statement on Form S-1 (File No. 333-225307))</w:t>
              </w:r>
            </w:hyperlink>
          </w:p>
        </w:tc>
        <w:tc>
          <w:tcPr>
            <w:tcW w:w="1500" w:type="dxa"/>
            <w:vAlign w:val="bottom"/>
            <w:gridSpan w:val="13"/>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9540" w:type="dxa"/>
            <w:vAlign w:val="bottom"/>
            <w:tcBorders>
              <w:bottom w:val="single" w:sz="8" w:color="0000EE"/>
            </w:tcBorders>
            <w:gridSpan w:val="15"/>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Form of Incentive Stock Option Agreement for the Amended and Restated 2003 Stock Incentive Plan, as amended, of the Registrant</w:t>
              </w:r>
            </w:hyperlink>
          </w:p>
        </w:tc>
        <w:tc>
          <w:tcPr>
            <w:tcW w:w="84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(incorporated by reference to Exhibit 10.14 to the Registrant’s 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Forms of Grant Notice, Stock Option Agreement and Notice of Exercise under the 2018 Equity Incentive Plan (incorporated by reference to</w:t>
              </w:r>
            </w:hyperlink>
          </w:p>
        </w:tc>
        <w:tc>
          <w:tcPr>
            <w:tcW w:w="3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Exhibit 10.15 to the Registrant’s Registration Statement on Form S-1 (File No. 333-225307))</w:t>
              </w:r>
            </w:hyperlink>
          </w:p>
        </w:tc>
        <w:tc>
          <w:tcPr>
            <w:tcW w:w="3660" w:type="dxa"/>
            <w:vAlign w:val="bottom"/>
            <w:gridSpan w:val="15"/>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tcBorders>
              <w:bottom w:val="single" w:sz="8" w:color="0000EE"/>
            </w:tcBorders>
            <w:gridSpan w:val="24"/>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Forms of Restricted Stock Unit Grant Notice and Award Agreement under the 2018 Equity Incentive Plan (incorporated by reference to Exhibit</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to the Registrant’s Registration Statement on Form S-1 (File No. 333-225307))</w:t>
              </w:r>
            </w:hyperlink>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gridSpan w:val="25"/>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Form of Severance Agreement (incorporated by reference to Exhibit 10.17 to the Registrant’s Registration Statement on Form S-1 (File No.</w:t>
              </w:r>
            </w:hyperlink>
          </w:p>
        </w:tc>
      </w:tr>
      <w:tr>
        <w:trPr>
          <w:trHeight w:val="196"/>
        </w:trPr>
        <w:tc>
          <w:tcPr>
            <w:tcW w:w="104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333-225307))</w:t>
              </w:r>
            </w:hyperlink>
          </w:p>
        </w:tc>
        <w:tc>
          <w:tcPr>
            <w:tcW w:w="1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Borders>
              <w:bottom w:val="single" w:sz="8" w:color="0000EE"/>
            </w:tcBorders>
            <w:gridSpan w:val="25"/>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Form of Restrictive Covenant and Invention Assignment Agreement (incorporated by reference to Exhibit 10.18 to the Registrant’s Registration</w:t>
              </w:r>
            </w:hyperlink>
          </w:p>
        </w:tc>
      </w:tr>
      <w:tr>
        <w:trPr>
          <w:trHeight w:val="196"/>
        </w:trPr>
        <w:tc>
          <w:tcPr>
            <w:tcW w:w="104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Statement on Form S-1 (File No. 333-225307))</w:t>
              </w:r>
            </w:hyperlink>
          </w:p>
        </w:tc>
        <w:tc>
          <w:tcPr>
            <w:tcW w:w="6960" w:type="dxa"/>
            <w:vAlign w:val="bottom"/>
            <w:gridSpan w:val="21"/>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gridSpan w:val="25"/>
          </w:tcPr>
          <w:p>
            <w:pPr>
              <w:spacing w:after="0"/>
              <w:rPr>
                <w:rFonts w:ascii="Arial" w:cs="Arial" w:eastAsia="Arial" w:hAnsi="Arial"/>
                <w:sz w:val="18"/>
                <w:szCs w:val="18"/>
                <w:color w:val="0000EE"/>
                <w:w w:val="93"/>
              </w:rPr>
            </w:pPr>
            <w:hyperlink r:id="rId188">
              <w:r>
                <w:rPr>
                  <w:rFonts w:ascii="Arial" w:cs="Arial" w:eastAsia="Arial" w:hAnsi="Arial"/>
                  <w:sz w:val="18"/>
                  <w:szCs w:val="18"/>
                  <w:color w:val="0000EE"/>
                  <w:w w:val="93"/>
                </w:rPr>
                <w:t>Offer Letter, dated February 27, 2018, by and between the Registrant and Daniel Guthrie (incorporated by reference to Exhibit 10.19 to the</w:t>
              </w:r>
            </w:hyperlink>
          </w:p>
        </w:tc>
      </w:tr>
      <w:tr>
        <w:trPr>
          <w:trHeight w:val="196"/>
        </w:trPr>
        <w:tc>
          <w:tcPr>
            <w:tcW w:w="104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Registrant’s Registration Statement on Form S-1 (File No. 333-225307))</w:t>
              </w:r>
            </w:hyperlink>
          </w:p>
        </w:tc>
        <w:tc>
          <w:tcPr>
            <w:tcW w:w="4740" w:type="dxa"/>
            <w:vAlign w:val="bottom"/>
            <w:tcBorders>
              <w:top w:val="single" w:sz="8" w:color="0000EE"/>
            </w:tcBorders>
            <w:gridSpan w:val="11"/>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10380" w:type="dxa"/>
            <w:vAlign w:val="bottom"/>
            <w:gridSpan w:val="25"/>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Offer Letter, dated November 10, 2017, by and between the Registrant and Yelena Tropsha (incorporated by reference to Exhibit 10.20 to the</w:t>
              </w:r>
            </w:hyperlink>
          </w:p>
        </w:tc>
      </w:tr>
      <w:tr>
        <w:trPr>
          <w:trHeight w:val="196"/>
        </w:trPr>
        <w:tc>
          <w:tcPr>
            <w:tcW w:w="1040" w:type="dxa"/>
            <w:vAlign w:val="bottom"/>
          </w:tcPr>
          <w:p>
            <w:pPr>
              <w:spacing w:after="0"/>
              <w:rPr>
                <w:sz w:val="17"/>
                <w:szCs w:val="17"/>
                <w:color w:val="auto"/>
              </w:rPr>
            </w:pPr>
          </w:p>
        </w:tc>
        <w:tc>
          <w:tcPr>
            <w:tcW w:w="101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Registrant’s Registration Statement on Form S-1 (File No. 333-225307))</w:t>
              </w:r>
            </w:hyperlink>
          </w:p>
        </w:tc>
        <w:tc>
          <w:tcPr>
            <w:tcW w:w="22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0200" w:type="dxa"/>
            <w:vAlign w:val="bottom"/>
            <w:tcBorders>
              <w:bottom w:val="single" w:sz="8" w:color="0000EE"/>
            </w:tcBorders>
            <w:gridSpan w:val="23"/>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Non-Employee Director Compensation Policy (incorporated by reference to Exhibit 10.21 to the Registrant’s Registration Statement on Form</w:t>
              </w:r>
            </w:hyperlink>
          </w:p>
        </w:tc>
        <w:tc>
          <w:tcPr>
            <w:tcW w:w="1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S-1 (File No. 333-225307))</w:t>
              </w:r>
            </w:hyperlink>
          </w:p>
        </w:tc>
      </w:tr>
      <w:tr>
        <w:trPr>
          <w:trHeight w:val="20"/>
        </w:trPr>
        <w:tc>
          <w:tcPr>
            <w:tcW w:w="104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gridSpan w:val="25"/>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Consent of KPMG LLP, independent registered public accounting firm</w:t>
              </w:r>
            </w:hyperlink>
          </w:p>
        </w:tc>
      </w:tr>
      <w:tr>
        <w:trPr>
          <w:trHeight w:val="20"/>
        </w:trPr>
        <w:tc>
          <w:tcPr>
            <w:tcW w:w="104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2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Certification of the Principal Executive Officer pursuant to Rule 13a-14(a) or 15d-14(a) of the Securities Exchange Act of 1934.</w:t>
              </w:r>
            </w:hyperlink>
          </w:p>
        </w:tc>
        <w:tc>
          <w:tcPr>
            <w:tcW w:w="1140" w:type="dxa"/>
            <w:vAlign w:val="bottom"/>
            <w:gridSpan w:val="11"/>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5"/>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Certification of the Principal Financial Officer pursuant to Rule 13a-14(a) or 15d-14(a) of the Securities Exchange Act of 1934.</w:t>
              </w:r>
            </w:hyperlink>
          </w:p>
        </w:tc>
      </w:tr>
      <w:tr>
        <w:trPr>
          <w:trHeight w:val="20"/>
        </w:trPr>
        <w:tc>
          <w:tcPr>
            <w:tcW w:w="104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160" w:type="dxa"/>
            <w:vAlign w:val="bottom"/>
            <w:gridSpan w:val="10"/>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gridSpan w:val="25"/>
          </w:tcPr>
          <w:p>
            <w:pPr>
              <w:spacing w:after="0"/>
              <w:rPr>
                <w:rFonts w:ascii="Arial" w:cs="Arial" w:eastAsia="Arial" w:hAnsi="Arial"/>
                <w:sz w:val="18"/>
                <w:szCs w:val="18"/>
                <w:color w:val="0000EE"/>
                <w:w w:val="93"/>
              </w:rPr>
            </w:pPr>
            <w:hyperlink w:anchor="page136">
              <w:r>
                <w:rPr>
                  <w:rFonts w:ascii="Arial" w:cs="Arial" w:eastAsia="Arial" w:hAnsi="Arial"/>
                  <w:sz w:val="18"/>
                  <w:szCs w:val="18"/>
                  <w:color w:val="0000EE"/>
                  <w:w w:val="93"/>
                </w:rPr>
                <w:t>Certification of the principal executive and financial officer pursuant to Rule 13a-14(b) of the Securities Exchange Act of 1934, as amended,</w:t>
              </w:r>
            </w:hyperlink>
          </w:p>
        </w:tc>
      </w:tr>
      <w:tr>
        <w:trPr>
          <w:trHeight w:val="196"/>
        </w:trPr>
        <w:tc>
          <w:tcPr>
            <w:tcW w:w="104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and 18 U.S.C. section 1350.</w:t>
              </w:r>
            </w:hyperlink>
          </w:p>
        </w:tc>
        <w:tc>
          <w:tcPr>
            <w:tcW w:w="8100" w:type="dxa"/>
            <w:vAlign w:val="bottom"/>
            <w:tcBorders>
              <w:top w:val="single" w:sz="8" w:color="0000EE"/>
            </w:tcBorders>
            <w:gridSpan w:val="18"/>
          </w:tcPr>
          <w:p>
            <w:pPr>
              <w:spacing w:after="0"/>
              <w:rPr>
                <w:sz w:val="17"/>
                <w:szCs w:val="17"/>
                <w:color w:val="auto"/>
              </w:rPr>
            </w:pPr>
          </w:p>
        </w:tc>
        <w:tc>
          <w:tcPr>
            <w:tcW w:w="260" w:type="dxa"/>
            <w:vAlign w:val="bottom"/>
            <w:gridSpan w:val="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2090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left="160" w:right="180"/>
        <w:spacing w:after="0" w:line="261" w:lineRule="auto"/>
        <w:rPr>
          <w:sz w:val="20"/>
          <w:szCs w:val="20"/>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NEURONETICS, INC.</w:t>
      </w:r>
    </w:p>
    <w:p>
      <w:pPr>
        <w:spacing w:after="0" w:line="225"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Thatcher</w:t>
      </w:r>
    </w:p>
    <w:p>
      <w:pPr>
        <w:spacing w:after="0" w:line="23"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Christopher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-101600</wp:posOffset>
            </wp:positionV>
            <wp:extent cx="23837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80" w:lineRule="exact"/>
        <w:rPr>
          <w:sz w:val="20"/>
          <w:szCs w:val="20"/>
          <w:color w:val="auto"/>
        </w:rPr>
      </w:pPr>
    </w:p>
    <w:p>
      <w:pPr>
        <w:ind w:left="6860"/>
        <w:spacing w:after="0"/>
        <w:tabs>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08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Christopher Thatcher</w:t>
            </w:r>
          </w:p>
        </w:tc>
        <w:tc>
          <w:tcPr>
            <w:tcW w:w="14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Peter Donato</w:t>
            </w:r>
          </w:p>
        </w:tc>
        <w:tc>
          <w:tcPr>
            <w:tcW w:w="14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Blanchard</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Cheryl Blanchard</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Campe</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Stephen Campe</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Farley</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Brian Farley</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Hunt</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Ronald Hunt</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Wilfred Jaeger, M.D.</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Wilfred Jaeger, M.D.</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Muir</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28"/>
        </w:trPr>
        <w:tc>
          <w:tcPr>
            <w:tcW w:w="3220" w:type="dxa"/>
            <w:vAlign w:val="bottom"/>
          </w:tcPr>
          <w:p>
            <w:pPr>
              <w:spacing w:after="0"/>
              <w:rPr>
                <w:sz w:val="20"/>
                <w:szCs w:val="20"/>
                <w:color w:val="auto"/>
              </w:rPr>
            </w:pPr>
            <w:r>
              <w:rPr>
                <w:rFonts w:ascii="Arial" w:cs="Arial" w:eastAsia="Arial" w:hAnsi="Arial"/>
                <w:sz w:val="18"/>
                <w:szCs w:val="18"/>
                <w:b w:val="1"/>
                <w:bCs w:val="1"/>
                <w:color w:val="auto"/>
              </w:rPr>
              <w:t>Glenn Muir</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bl>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Neuronetics, Inc.:</w:t>
      </w:r>
    </w:p>
    <w:p>
      <w:pPr>
        <w:spacing w:after="0" w:line="188" w:lineRule="exact"/>
        <w:rPr>
          <w:sz w:val="20"/>
          <w:szCs w:val="20"/>
          <w:color w:val="auto"/>
        </w:rPr>
      </w:pPr>
    </w:p>
    <w:p>
      <w:pPr>
        <w:ind w:right="140"/>
        <w:spacing w:after="0" w:line="249" w:lineRule="exact"/>
        <w:rPr>
          <w:sz w:val="20"/>
          <w:szCs w:val="20"/>
          <w:color w:val="auto"/>
        </w:rPr>
      </w:pPr>
      <w:r>
        <w:rPr>
          <w:rFonts w:ascii="Arial" w:cs="Arial" w:eastAsia="Arial" w:hAnsi="Arial"/>
          <w:sz w:val="19"/>
          <w:szCs w:val="19"/>
          <w:color w:val="auto"/>
        </w:rPr>
        <w:t>We consent to the incorporation by reference in the registration statement (No. 333-226343) on Form S-8 of Neuronetics, Inc. of our report dated March 5, 2019, with respect to the balance sheets of Neuronetics, Inc. as of December 31, 2018 and 2017, the related statements of operations, changes in convertible preferred stock and stockholders’ equity (deficit), and cash flows for each of the years in the three</w:t>
      </w:r>
      <w:r>
        <w:rPr>
          <w:rFonts w:ascii="MS PGothic" w:cs="MS PGothic" w:eastAsia="MS PGothic" w:hAnsi="MS PGothic"/>
          <w:sz w:val="19"/>
          <w:szCs w:val="19"/>
          <w:color w:val="auto"/>
        </w:rPr>
        <w:t>‑</w:t>
      </w:r>
      <w:r>
        <w:rPr>
          <w:rFonts w:ascii="Arial" w:cs="Arial" w:eastAsia="Arial" w:hAnsi="Arial"/>
          <w:sz w:val="19"/>
          <w:szCs w:val="19"/>
          <w:color w:val="auto"/>
        </w:rPr>
        <w:t>year period ended December 31, 2018, and the related notes (collectively, the financial statements), which report appears in the December 31, 2018 annual report on Form 10-K of Neuronetics, Inc.</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5, 2019</w:t>
      </w:r>
    </w:p>
    <w:p>
      <w:pPr>
        <w:sectPr>
          <w:pgSz w:w="11900" w:h="16838" w:orient="portrait"/>
          <w:cols w:equalWidth="0" w:num="1">
            <w:col w:w="11420"/>
          </w:cols>
          <w:pgMar w:left="240" w:top="342"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Thatcher, certify that:</w:t>
      </w:r>
    </w:p>
    <w:p>
      <w:pPr>
        <w:spacing w:after="0" w:line="225" w:lineRule="exact"/>
        <w:rPr>
          <w:sz w:val="20"/>
          <w:szCs w:val="20"/>
          <w:color w:val="auto"/>
        </w:rPr>
      </w:pPr>
    </w:p>
    <w:p>
      <w:pPr>
        <w:ind w:left="880" w:hanging="87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225" w:lineRule="exact"/>
        <w:rPr>
          <w:rFonts w:ascii="Arial" w:cs="Arial" w:eastAsia="Arial" w:hAnsi="Arial"/>
          <w:sz w:val="18"/>
          <w:szCs w:val="18"/>
          <w:color w:val="auto"/>
        </w:rPr>
      </w:pPr>
    </w:p>
    <w:p>
      <w:pPr>
        <w:jc w:val="both"/>
        <w:ind w:left="880" w:hanging="872"/>
        <w:spacing w:after="0" w:line="264"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20" w:hanging="872"/>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40" w:hanging="868"/>
        <w:spacing w:after="0" w:line="342" w:lineRule="auto"/>
        <w:tabs>
          <w:tab w:leader="none" w:pos="17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hanging="847"/>
        <w:spacing w:after="0" w:line="277" w:lineRule="auto"/>
        <w:tabs>
          <w:tab w:leader="none" w:pos="17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March 5, 2019</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320" w:type="dxa"/>
            <w:vAlign w:val="bottom"/>
          </w:tcPr>
          <w:p>
            <w:pPr>
              <w:spacing w:after="0"/>
              <w:rPr>
                <w:sz w:val="16"/>
                <w:szCs w:val="16"/>
                <w:color w:val="auto"/>
              </w:rPr>
            </w:pPr>
          </w:p>
        </w:tc>
        <w:tc>
          <w:tcPr>
            <w:tcW w:w="258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32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Donato, certify that:</w:t>
      </w:r>
    </w:p>
    <w:p>
      <w:pPr>
        <w:spacing w:after="0" w:line="225"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225" w:lineRule="exact"/>
        <w:rPr>
          <w:rFonts w:ascii="Arial" w:cs="Arial" w:eastAsia="Arial" w:hAnsi="Arial"/>
          <w:sz w:val="18"/>
          <w:szCs w:val="18"/>
          <w:color w:val="auto"/>
        </w:rPr>
      </w:pPr>
    </w:p>
    <w:p>
      <w:pPr>
        <w:jc w:val="both"/>
        <w:ind w:left="880" w:hanging="872"/>
        <w:spacing w:after="0" w:line="264"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20" w:hanging="872"/>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872"/>
        <w:spacing w:after="0" w:line="308"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40" w:hanging="868"/>
        <w:spacing w:after="0" w:line="342" w:lineRule="auto"/>
        <w:tabs>
          <w:tab w:leader="none" w:pos="17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hanging="847"/>
        <w:spacing w:after="0" w:line="277" w:lineRule="auto"/>
        <w:tabs>
          <w:tab w:leader="none" w:pos="17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March 5, 2019</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3320" w:type="dxa"/>
            <w:vAlign w:val="bottom"/>
          </w:tcPr>
          <w:p>
            <w:pPr>
              <w:spacing w:after="0"/>
              <w:rPr>
                <w:sz w:val="16"/>
                <w:szCs w:val="16"/>
                <w:color w:val="auto"/>
              </w:rPr>
            </w:pPr>
          </w:p>
        </w:tc>
        <w:tc>
          <w:tcPr>
            <w:tcW w:w="258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Peter Donato</w:t>
            </w:r>
          </w:p>
        </w:tc>
      </w:tr>
      <w:tr>
        <w:trPr>
          <w:trHeight w:val="216"/>
        </w:trPr>
        <w:tc>
          <w:tcPr>
            <w:tcW w:w="332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Christopher Thatcher, President and Chief Executive Officer of Neuronetics, Inc. (the “Company”), and Peter Donato, Vice President, Finance and Chief Financial Officer of the Company, each hereby certifies that, to the best of his or her knowledge:</w:t>
      </w:r>
    </w:p>
    <w:p>
      <w:pPr>
        <w:spacing w:after="0" w:line="190" w:lineRule="exact"/>
        <w:rPr>
          <w:sz w:val="20"/>
          <w:szCs w:val="20"/>
          <w:color w:val="auto"/>
        </w:rPr>
      </w:pPr>
    </w:p>
    <w:p>
      <w:pPr>
        <w:ind w:left="880" w:right="60" w:hanging="872"/>
        <w:spacing w:after="0" w:line="277" w:lineRule="auto"/>
        <w:tabs>
          <w:tab w:leader="none" w:pos="8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2018,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880" w:right="300" w:hanging="872"/>
        <w:spacing w:after="0" w:line="277" w:lineRule="auto"/>
        <w:tabs>
          <w:tab w:leader="none" w:pos="8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5th day of March, 2019.</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Christopher Thatcher</w:t>
            </w:r>
          </w:p>
        </w:tc>
        <w:tc>
          <w:tcPr>
            <w:tcW w:w="780" w:type="dxa"/>
            <w:vAlign w:val="bottom"/>
          </w:tcPr>
          <w:p>
            <w:pPr>
              <w:ind w:left="10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Peter Donato</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
                <w:szCs w:val="2"/>
                <w:color w:val="auto"/>
              </w:rPr>
            </w:pP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Christopher Thatcher</w:t>
            </w:r>
          </w:p>
        </w:tc>
        <w:tc>
          <w:tcPr>
            <w:tcW w:w="78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Peter Donato</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Neuronetics,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Roman"/>
      <w:start w:val="7"/>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lowerRoman"/>
      <w:start w:val="2"/>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1."/>
      <w:numFmt w:val="decimal"/>
      <w:start w:val="3"/>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4"/>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1."/>
      <w:numFmt w:val="decimal"/>
      <w:start w:val="6"/>
    </w:lvl>
  </w:abstractNum>
  <w:abstractNum w:abstractNumId="51">
    <w:nsid w:val="47398C89"/>
    <w:multiLevelType w:val="hybridMultilevel"/>
    <w:lvl w:ilvl="0">
      <w:lvlJc w:val="left"/>
      <w:lvlText w:val="%1."/>
      <w:numFmt w:val="decimal"/>
      <w:start w:val="7"/>
    </w:lvl>
  </w:abstractNum>
  <w:abstractNum w:abstractNumId="52">
    <w:nsid w:val="354FE9F9"/>
    <w:multiLevelType w:val="hybridMultilevel"/>
    <w:lvl w:ilvl="0">
      <w:lvlJc w:val="left"/>
      <w:lvlText w:val="%1."/>
      <w:numFmt w:val="decimal"/>
      <w:start w:val="8"/>
    </w:lvl>
  </w:abstractNum>
  <w:abstractNum w:abstractNumId="53">
    <w:nsid w:val="15B5AF5C"/>
    <w:multiLevelType w:val="hybridMultilevel"/>
    <w:lvl w:ilvl="0">
      <w:lvlJc w:val="left"/>
      <w:lvlText w:val="%1."/>
      <w:numFmt w:val="decimal"/>
      <w:start w:val="9"/>
    </w:lvl>
  </w:abstractNum>
  <w:abstractNum w:abstractNumId="54">
    <w:nsid w:val="741226BB"/>
    <w:multiLevelType w:val="hybridMultilevel"/>
    <w:lvl w:ilvl="0">
      <w:lvlJc w:val="left"/>
      <w:lvlText w:val="%1."/>
      <w:numFmt w:val="decimal"/>
      <w:start w:val="10"/>
    </w:lvl>
  </w:abstractNum>
  <w:abstractNum w:abstractNumId="55">
    <w:nsid w:val="D34B6A8"/>
    <w:multiLevelType w:val="hybridMultilevel"/>
    <w:lvl w:ilvl="0">
      <w:lvlJc w:val="left"/>
      <w:lvlText w:val="%1."/>
      <w:numFmt w:val="decimal"/>
      <w:start w:val="11"/>
    </w:lvl>
  </w:abstractNum>
  <w:abstractNum w:abstractNumId="56">
    <w:nsid w:val="10233C99"/>
    <w:multiLevelType w:val="hybridMultilevel"/>
    <w:lvl w:ilvl="0">
      <w:lvlJc w:val="left"/>
      <w:lvlText w:val="%1."/>
      <w:numFmt w:val="decimal"/>
      <w:start w:val="12"/>
    </w:lvl>
  </w:abstractNum>
  <w:abstractNum w:abstractNumId="57">
    <w:nsid w:val="3F6AB60F"/>
    <w:multiLevelType w:val="hybridMultilevel"/>
    <w:lvl w:ilvl="0">
      <w:lvlJc w:val="left"/>
      <w:lvlText w:val="%1."/>
      <w:numFmt w:val="decimal"/>
      <w:start w:val="13"/>
    </w:lvl>
  </w:abstractNum>
  <w:abstractNum w:abstractNumId="58">
    <w:nsid w:val="61574095"/>
    <w:multiLevelType w:val="hybridMultilevel"/>
    <w:lvl w:ilvl="0">
      <w:lvlJc w:val="left"/>
      <w:lvlText w:val="%1."/>
      <w:numFmt w:val="decimal"/>
      <w:start w:val="14"/>
    </w:lvl>
  </w:abstractNum>
  <w:abstractNum w:abstractNumId="59">
    <w:nsid w:val="7E0C57B1"/>
    <w:multiLevelType w:val="hybridMultilevel"/>
    <w:lvl w:ilvl="0">
      <w:lvlJc w:val="left"/>
      <w:lvlText w:val="%1."/>
      <w:numFmt w:val="decimal"/>
      <w:start w:val="15"/>
    </w:lvl>
  </w:abstractNum>
  <w:abstractNum w:abstractNumId="60">
    <w:nsid w:val="77AE35EB"/>
    <w:multiLevelType w:val="hybridMultilevel"/>
    <w:lvl w:ilvl="0">
      <w:lvlJc w:val="left"/>
      <w:lvlText w:val="%1."/>
      <w:numFmt w:val="decimal"/>
      <w:start w:val="17"/>
    </w:lvl>
  </w:abstractNum>
  <w:abstractNum w:abstractNumId="61">
    <w:nsid w:val="579BE4F1"/>
    <w:multiLevelType w:val="hybridMultilevel"/>
    <w:lvl w:ilvl="0">
      <w:lvlJc w:val="left"/>
      <w:lvlText w:val="%1."/>
      <w:numFmt w:val="decimal"/>
      <w:start w:val="18"/>
    </w:lvl>
  </w:abstractNum>
  <w:abstractNum w:abstractNumId="62">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3">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63" Type="http://schemas.openxmlformats.org/officeDocument/2006/relationships/hyperlink" Target="http://www.sec.gov/Archives/edgar/data/1227636/000119312518213686/d860069dex31.htm" TargetMode="External"/><Relationship Id="rId164" Type="http://schemas.openxmlformats.org/officeDocument/2006/relationships/hyperlink" Target="http://www.sec.gov/Archives/edgar/data/1227636/000119312518213686/d860069dex32.htm" TargetMode="External"/><Relationship Id="rId165" Type="http://schemas.openxmlformats.org/officeDocument/2006/relationships/hyperlink" Target="http://www.sec.gov/Archives/edgar/data/1227636/000119312518193489/d542432dex41.htm" TargetMode="External"/><Relationship Id="rId166" Type="http://schemas.openxmlformats.org/officeDocument/2006/relationships/hyperlink" Target="http://www.sec.gov/Archives/edgar/data/1227636/000119312518179910/d542432dex42.htm" TargetMode="External"/><Relationship Id="rId167" Type="http://schemas.openxmlformats.org/officeDocument/2006/relationships/hyperlink" Target="http://www.sec.gov/Archives/edgar/data/1227636/000119312518179910/d542432dex43.htm" TargetMode="External"/><Relationship Id="rId168" Type="http://schemas.openxmlformats.org/officeDocument/2006/relationships/hyperlink" Target="http://www.sec.gov/Archives/edgar/data/1227636/000119312518179910/d542432dex101.htm" TargetMode="External"/><Relationship Id="rId169" Type="http://schemas.openxmlformats.org/officeDocument/2006/relationships/hyperlink" Target="http://www.sec.gov/Archives/edgar/data/1227636/000119312518179910/d542432dex102.htm" TargetMode="External"/><Relationship Id="rId170" Type="http://schemas.openxmlformats.org/officeDocument/2006/relationships/hyperlink" Target="http://www.sec.gov/Archives/edgar/data/1227636/000119312518179910/d542432dex103.htm" TargetMode="External"/><Relationship Id="rId171" Type="http://schemas.openxmlformats.org/officeDocument/2006/relationships/hyperlink" Target="http://www.sec.gov/Archives/edgar/data/1227636/000119312518179910/d542432dex104.htm" TargetMode="External"/><Relationship Id="rId172" Type="http://schemas.openxmlformats.org/officeDocument/2006/relationships/hyperlink" Target="http://www.sec.gov/Archives/edgar/data/1227636/000119312518179910/d542432dex105.htm" TargetMode="External"/><Relationship Id="rId173" Type="http://schemas.openxmlformats.org/officeDocument/2006/relationships/hyperlink" Target="http://www.sec.gov/Archives/edgar/data/1227636/000119312518179910/d542432dex106.htm" TargetMode="External"/><Relationship Id="rId174" Type="http://schemas.openxmlformats.org/officeDocument/2006/relationships/hyperlink" Target="http://www.sec.gov/Archives/edgar/data/1227636/000119312518179910/d542432dex107.htm" TargetMode="External"/><Relationship Id="rId175" Type="http://schemas.openxmlformats.org/officeDocument/2006/relationships/hyperlink" Target="http://www.sec.gov/Archives/edgar/data/1227636/000119312518179910/d542432dex108.htm" TargetMode="External"/><Relationship Id="rId176" Type="http://schemas.openxmlformats.org/officeDocument/2006/relationships/hyperlink" Target="http://www.sec.gov/Archives/edgar/data/1227636/000119312518179910/d542432dex109.htm" TargetMode="External"/><Relationship Id="rId177" Type="http://schemas.openxmlformats.org/officeDocument/2006/relationships/hyperlink" Target="http://www.sec.gov/Archives/edgar/data/1227636/000156459018027435/stim-ex1010_49.htm" TargetMode="External"/><Relationship Id="rId178" Type="http://schemas.openxmlformats.org/officeDocument/2006/relationships/hyperlink" Target="http://www.sec.gov/Archives/edgar/data/1227636/000156459018027435/stim-ex1011_48.htm" TargetMode="External"/><Relationship Id="rId181" Type="http://schemas.openxmlformats.org/officeDocument/2006/relationships/hyperlink" Target="http://www.sec.gov/Archives/edgar/data/1227636/000119312518179910/d542432dex1012.htm" TargetMode="External"/><Relationship Id="rId182" Type="http://schemas.openxmlformats.org/officeDocument/2006/relationships/hyperlink" Target="http://www.sec.gov/Archives/edgar/data/1227636/000119312518179910/d542432dex1013.htm" TargetMode="External"/><Relationship Id="rId183" Type="http://schemas.openxmlformats.org/officeDocument/2006/relationships/hyperlink" Target="http://www.sec.gov/Archives/edgar/data/1227636/000119312518179910/d542432dex1014.htm" TargetMode="External"/><Relationship Id="rId184" Type="http://schemas.openxmlformats.org/officeDocument/2006/relationships/hyperlink" Target="http://www.sec.gov/Archives/edgar/data/1227636/000119312518179910/d542432dex1015.htm" TargetMode="External"/><Relationship Id="rId185" Type="http://schemas.openxmlformats.org/officeDocument/2006/relationships/hyperlink" Target="http://www.sec.gov/Archives/edgar/data/1227636/000119312518179910/d542432dex1016.htm" TargetMode="External"/><Relationship Id="rId186" Type="http://schemas.openxmlformats.org/officeDocument/2006/relationships/hyperlink" Target="http://www.sec.gov/Archives/edgar/data/1227636/000119312518179910/d542432dex1017.htm" TargetMode="External"/><Relationship Id="rId187" Type="http://schemas.openxmlformats.org/officeDocument/2006/relationships/hyperlink" Target="http://www.sec.gov/Archives/edgar/data/1227636/000119312518179910/d542432dex1018.htm" TargetMode="External"/><Relationship Id="rId188" Type="http://schemas.openxmlformats.org/officeDocument/2006/relationships/hyperlink" Target="http://www.sec.gov/Archives/edgar/data/1227636/000119312518179910/d542432dex1019.htm" TargetMode="External"/><Relationship Id="rId189" Type="http://schemas.openxmlformats.org/officeDocument/2006/relationships/hyperlink" Target="http://www.sec.gov/Archives/edgar/data/1227636/000119312518179910/d542432dex1020.htm" TargetMode="External"/><Relationship Id="rId190" Type="http://schemas.openxmlformats.org/officeDocument/2006/relationships/hyperlink" Target="http://www.sec.gov/Archives/edgar/data/1227636/000119312518193489/d542432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2019-12-28T15:09:36Z</dcterms:created>
  <dcterms:modified xsi:type="dcterms:W3CDTF">2019-12-28T15:09:36Z</dcterms:modified>
</cp:coreProperties>
</file>